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Одсјек за послове комуналне накнаде у оквиру Одјељења за стамбено-комуналне послове и заштиту животне средине</w:t>
      </w:r>
      <w:r w:rsidR="00BB0148">
        <w:rPr>
          <w:rFonts w:ascii="Times New Roman" w:hAnsi="Times New Roman" w:cs="Times New Roman"/>
          <w:sz w:val="24"/>
          <w:szCs w:val="24"/>
          <w:lang w:val="sr-Cyrl-BA"/>
        </w:rPr>
        <w:t xml:space="preserve"> Градске управе Града Бијељина</w:t>
      </w:r>
      <w:r>
        <w:rPr>
          <w:rFonts w:ascii="Times New Roman" w:hAnsi="Times New Roman" w:cs="Times New Roman"/>
          <w:sz w:val="24"/>
          <w:szCs w:val="24"/>
          <w:lang w:val="sr-Cyrl-BA"/>
        </w:rPr>
        <w:t xml:space="preserve"> врши израду рјешења обвезницима у складу са Законом о комуналним дјелатностима („Службени гласник Републике Српске“, број: 124/11 и 100/17) и Одлуком о комуналној накнади („Службени гласник Града Бијељина“, број: 5/17).</w:t>
      </w: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Обавеза плаћања комуналне накнаде утврђује се на основу података из евиденције Републичке управе за геодетске и имовинско-правне послове Бања Лука – Подручна јединица Бијељина, других јавних евиденција о непокретностима или увиђајем на лицу мјеста.</w:t>
      </w: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Обвезници плаћања комуналне накнаде су власници, носиоци права располагања или права коришћења (привременог или трајног) на стамбеном, пословном или другом простору, корисници изграђених објеката, са одобрењем или без одобрења за грађење, који су грађевински завршени, закупци као привремени корисници простора, односно физичка и правна лица која су корисници објеката и уређаја заједничке комуналне потрошње.</w:t>
      </w: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Обавеза плаћања комуналне накнаде настаје са даном изградње, стицања у власништво или стицања права коришћења простора, а престаје са даном престанка коришћења, односно постојања објекта на основу коначног рјешења о рушењу, односно рушењем објекта, те је обвезник дужан да у року од 15 дана од дана изградње, стицања у власништво или стицања права коришћења простора, или у случају престанка коришћења, односно постојања објекта, поднесе пријаву надлежном органу за комуналне послове Града, ради утврђивања висине накнаде или ради обуставе задужења по основу комуналне накнаде.  </w:t>
      </w: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Основ за обрачун комуналне накнаде је јединица изграђене корисне површине (м2) за стамбени, пословни и други простор (гаражни простор, помоћни простор).</w:t>
      </w: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Висина комуналне накнаде утврђује се према јединици изграђене корисне површине стамбеног, пословног и другог простора, у зависности од грађевинске зоне у којој се објекат налази и степена опремљености насеља комуналним објектима и уређајима заједничке комуналне потрошње.</w:t>
      </w:r>
    </w:p>
    <w:p w:rsidR="00470861" w:rsidRPr="00356D5A" w:rsidRDefault="00470861" w:rsidP="00470861">
      <w:pPr>
        <w:pStyle w:val="NoSpacing"/>
        <w:ind w:left="1440"/>
        <w:jc w:val="both"/>
        <w:rPr>
          <w:rFonts w:ascii="Times New Roman" w:hAnsi="Times New Roman" w:cs="Times New Roman"/>
          <w:sz w:val="24"/>
          <w:szCs w:val="24"/>
          <w:lang w:val="sr-Cyrl-BA"/>
        </w:rPr>
      </w:pP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Комунална накнада за производне објекте и објекте од општег друштвеног значаја плаћа се у висини од 30% од накнаде у одређеној зони предвиђеној за пословне објекте. У објекте од општег друштвеног значаја спадају:</w:t>
      </w:r>
    </w:p>
    <w:p w:rsidR="00470861" w:rsidRDefault="00470861" w:rsidP="00470861">
      <w:pPr>
        <w:pStyle w:val="NoSpacing"/>
        <w:ind w:firstLine="720"/>
        <w:jc w:val="both"/>
        <w:rPr>
          <w:rFonts w:ascii="Times New Roman" w:hAnsi="Times New Roman" w:cs="Times New Roman"/>
          <w:sz w:val="24"/>
          <w:szCs w:val="24"/>
          <w:lang w:val="sr-Cyrl-BA"/>
        </w:rPr>
      </w:pP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студентских, ђачких и дјечијих домова,</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за смјештај старих, изнемоглих и незбринутих лица,</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социјалне и дјечије заштите који се користе у хуманитарне сврхе,</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државних и ентитетских органа и органа локалне самоуправе,</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Министарства одбране, односно оружаних снага,</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за обављање погребних дјелатности,</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здравства (домови здравља, болнице и амбуланте),</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основног, средњег и високог образовања,</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науке, културе и умјетности,</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w:t>
      </w:r>
      <w:r w:rsidRPr="00865650">
        <w:rPr>
          <w:rFonts w:ascii="Times New Roman" w:hAnsi="Times New Roman" w:cs="Times New Roman"/>
          <w:sz w:val="24"/>
          <w:szCs w:val="24"/>
          <w:lang w:val="sr-Cyrl-BA"/>
        </w:rPr>
        <w:t>бјекти физичке културе и спорта,</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објекти противпожарне заштите и</w:t>
      </w:r>
    </w:p>
    <w:p w:rsidR="00470861" w:rsidRDefault="00470861" w:rsidP="00470861">
      <w:pPr>
        <w:pStyle w:val="NoSpacing"/>
        <w:numPr>
          <w:ilvl w:val="0"/>
          <w:numId w:val="1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о</w:t>
      </w:r>
      <w:r w:rsidRPr="00865650">
        <w:rPr>
          <w:rFonts w:ascii="Times New Roman" w:hAnsi="Times New Roman" w:cs="Times New Roman"/>
          <w:sz w:val="24"/>
          <w:szCs w:val="24"/>
          <w:lang w:val="sr-Cyrl-BA"/>
        </w:rPr>
        <w:t>бјекти ветеринарских дјелатности (амбуланте)</w:t>
      </w:r>
      <w:r>
        <w:rPr>
          <w:rFonts w:ascii="Times New Roman" w:hAnsi="Times New Roman" w:cs="Times New Roman"/>
          <w:sz w:val="24"/>
          <w:szCs w:val="24"/>
          <w:lang w:val="sr-Cyrl-BA"/>
        </w:rPr>
        <w:t>.</w:t>
      </w:r>
    </w:p>
    <w:p w:rsidR="00470861" w:rsidRDefault="00470861" w:rsidP="00470861">
      <w:pPr>
        <w:pStyle w:val="NoSpacing"/>
        <w:ind w:left="1080"/>
        <w:jc w:val="both"/>
        <w:rPr>
          <w:rFonts w:ascii="Times New Roman" w:hAnsi="Times New Roman" w:cs="Times New Roman"/>
          <w:sz w:val="24"/>
          <w:szCs w:val="24"/>
          <w:lang w:val="sr-Cyrl-BA"/>
        </w:rPr>
      </w:pP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Комунална накнада за помоћни простор у привреди плаћа се у висини од 30% од накнаде у одређеној зони предвиђеној за плаћање за пословне објекте.</w:t>
      </w: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Комунална накнада за други простор под којим се подразумијевају помоћни објекти, гараже и слично, плаћа се у висини од 50% од накнаде у одређеној зони предвиђеној за плаћање накнаде за стамбене објекте.</w:t>
      </w: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Обвезници комуналне накнаде, у складу са одредбама Одлуке о комуналној накнади, дужни су надлежном органу градске управе пријавити све чињенице и промјене од којих зависи утврђивање висине накнаде у року од 15 дана од дана њиховог настанка. </w:t>
      </w:r>
    </w:p>
    <w:p w:rsidR="00470861" w:rsidRDefault="00470861" w:rsidP="00470861">
      <w:pPr>
        <w:pStyle w:val="NoSpacing"/>
        <w:ind w:firstLine="720"/>
        <w:jc w:val="both"/>
        <w:rPr>
          <w:rFonts w:ascii="Times New Roman" w:hAnsi="Times New Roman" w:cs="Times New Roman"/>
          <w:sz w:val="24"/>
          <w:szCs w:val="24"/>
          <w:lang w:val="sr-Cyrl-BA"/>
        </w:rPr>
      </w:pP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Обавези плаћања комуналне накнаде не подлијежу:</w:t>
      </w:r>
    </w:p>
    <w:p w:rsidR="00470861" w:rsidRPr="00D466BD" w:rsidRDefault="00470861" w:rsidP="0047086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lang w:val="sr-Cyrl-BA"/>
        </w:rPr>
        <w:t xml:space="preserve"> објекти који служе физичким и правним лицима, а нису сачињени од чврстог материјала (надстрешнице, сјенаре, шупе и слично),</w:t>
      </w:r>
    </w:p>
    <w:p w:rsidR="00470861" w:rsidRPr="00D466BD" w:rsidRDefault="00470861" w:rsidP="0047086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lang w:val="sr-Cyrl-BA"/>
        </w:rPr>
        <w:t>објекти који служе за обављање вјерских обреда и остала имовина вјерских заједница,</w:t>
      </w:r>
    </w:p>
    <w:p w:rsidR="00470861" w:rsidRPr="00D466BD" w:rsidRDefault="00470861" w:rsidP="0047086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lang w:val="sr-Cyrl-BA"/>
        </w:rPr>
        <w:t>дјечији вртићи,</w:t>
      </w:r>
    </w:p>
    <w:p w:rsidR="00470861" w:rsidRPr="00865650" w:rsidRDefault="00470861" w:rsidP="0047086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lang w:val="sr-Cyrl-BA"/>
        </w:rPr>
        <w:t>лица која примају сталну социјалну помоћ и корисници јавне кухиње.</w:t>
      </w:r>
    </w:p>
    <w:p w:rsidR="00470861" w:rsidRPr="00D466BD" w:rsidRDefault="00470861" w:rsidP="00470861">
      <w:pPr>
        <w:pStyle w:val="NoSpacing"/>
        <w:ind w:left="1080"/>
        <w:jc w:val="both"/>
        <w:rPr>
          <w:rFonts w:ascii="Times New Roman" w:hAnsi="Times New Roman" w:cs="Times New Roman"/>
          <w:sz w:val="24"/>
          <w:szCs w:val="24"/>
        </w:rPr>
      </w:pPr>
      <w:r>
        <w:rPr>
          <w:rFonts w:ascii="Times New Roman" w:hAnsi="Times New Roman" w:cs="Times New Roman"/>
          <w:sz w:val="24"/>
          <w:szCs w:val="24"/>
          <w:lang w:val="sr-Cyrl-BA"/>
        </w:rPr>
        <w:t xml:space="preserve"> </w:t>
      </w:r>
    </w:p>
    <w:p w:rsidR="00470861" w:rsidRDefault="00470861" w:rsidP="00470861">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Средства по основу комуналне накнаде прикупљају се и обједињују на посебном рачуну и користе се искључиво за финансирање заједничке комуналне потрошње према Програму одржавања и модернизације комуналних објеката и уређаја заједничке комуналне потрошње. Сврха убирања средстава по основу комуналне накнаде је убирање прихода који служе за побољшање инфраструктуре, те се иста средства на тај начин поново враћају грађанима.</w:t>
      </w:r>
    </w:p>
    <w:p w:rsidR="00470861" w:rsidRDefault="00470861" w:rsidP="00470861">
      <w:pPr>
        <w:pStyle w:val="NoSpacing"/>
        <w:ind w:firstLine="720"/>
        <w:jc w:val="both"/>
        <w:rPr>
          <w:rFonts w:ascii="Times New Roman" w:hAnsi="Times New Roman" w:cs="Times New Roman"/>
          <w:sz w:val="24"/>
          <w:szCs w:val="24"/>
          <w:lang w:val="sr-Cyrl-BA"/>
        </w:rPr>
      </w:pPr>
    </w:p>
    <w:p w:rsidR="00470861" w:rsidRDefault="00470861" w:rsidP="00470861">
      <w:pPr>
        <w:pStyle w:val="NoSpacing"/>
        <w:ind w:firstLine="720"/>
        <w:jc w:val="both"/>
        <w:rPr>
          <w:rFonts w:ascii="Times New Roman" w:hAnsi="Times New Roman" w:cs="Times New Roman"/>
          <w:sz w:val="24"/>
          <w:szCs w:val="24"/>
          <w:lang w:val="sr-Cyrl-BA"/>
        </w:rPr>
      </w:pPr>
    </w:p>
    <w:p w:rsidR="00470861" w:rsidRDefault="00470861" w:rsidP="00470861">
      <w:pPr>
        <w:pStyle w:val="NoSpacing"/>
        <w:ind w:firstLine="720"/>
        <w:jc w:val="both"/>
        <w:rPr>
          <w:rFonts w:ascii="Times New Roman" w:hAnsi="Times New Roman" w:cs="Times New Roman"/>
          <w:sz w:val="24"/>
          <w:szCs w:val="24"/>
          <w:lang w:val="sr-Cyrl-BA"/>
        </w:rPr>
      </w:pPr>
    </w:p>
    <w:p w:rsidR="00C25F35" w:rsidRDefault="00C25F35"/>
    <w:sectPr w:rsidR="00C25F35" w:rsidSect="00C25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C Times">
    <w:altName w:val="Courier New"/>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8B4"/>
    <w:multiLevelType w:val="hybridMultilevel"/>
    <w:tmpl w:val="41D0555C"/>
    <w:lvl w:ilvl="0" w:tplc="9B9A0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30423"/>
    <w:multiLevelType w:val="hybridMultilevel"/>
    <w:tmpl w:val="35626750"/>
    <w:lvl w:ilvl="0" w:tplc="057A96F4">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8431F6"/>
    <w:multiLevelType w:val="hybridMultilevel"/>
    <w:tmpl w:val="0008A522"/>
    <w:lvl w:ilvl="0" w:tplc="4F2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7C4791"/>
    <w:multiLevelType w:val="hybridMultilevel"/>
    <w:tmpl w:val="FA5666CE"/>
    <w:lvl w:ilvl="0" w:tplc="2EAC00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76CA8"/>
    <w:multiLevelType w:val="hybridMultilevel"/>
    <w:tmpl w:val="B35EA2B2"/>
    <w:lvl w:ilvl="0" w:tplc="F866F0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38EB4D80"/>
    <w:multiLevelType w:val="hybridMultilevel"/>
    <w:tmpl w:val="E8F496DE"/>
    <w:lvl w:ilvl="0" w:tplc="19A89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E02DF"/>
    <w:multiLevelType w:val="hybridMultilevel"/>
    <w:tmpl w:val="82D00F5A"/>
    <w:lvl w:ilvl="0" w:tplc="62A263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9D39A1"/>
    <w:multiLevelType w:val="hybridMultilevel"/>
    <w:tmpl w:val="3032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F791C"/>
    <w:multiLevelType w:val="hybridMultilevel"/>
    <w:tmpl w:val="87124654"/>
    <w:lvl w:ilvl="0" w:tplc="797E4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97CE5"/>
    <w:multiLevelType w:val="hybridMultilevel"/>
    <w:tmpl w:val="E5D22542"/>
    <w:lvl w:ilvl="0" w:tplc="26E0A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762EC"/>
    <w:multiLevelType w:val="hybridMultilevel"/>
    <w:tmpl w:val="05120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9"/>
  </w:num>
  <w:num w:numId="6">
    <w:abstractNumId w:val="8"/>
  </w:num>
  <w:num w:numId="7">
    <w:abstractNumId w:val="3"/>
  </w:num>
  <w:num w:numId="8">
    <w:abstractNumId w:val="4"/>
  </w:num>
  <w:num w:numId="9">
    <w:abstractNumId w:val="5"/>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399"/>
    <w:rsid w:val="00024A1C"/>
    <w:rsid w:val="00070622"/>
    <w:rsid w:val="0009426A"/>
    <w:rsid w:val="000E441E"/>
    <w:rsid w:val="001125C7"/>
    <w:rsid w:val="00172399"/>
    <w:rsid w:val="001F180F"/>
    <w:rsid w:val="00236857"/>
    <w:rsid w:val="00294C32"/>
    <w:rsid w:val="002B5797"/>
    <w:rsid w:val="003932CD"/>
    <w:rsid w:val="00457432"/>
    <w:rsid w:val="00470861"/>
    <w:rsid w:val="004B313B"/>
    <w:rsid w:val="005C58B2"/>
    <w:rsid w:val="005F4F3F"/>
    <w:rsid w:val="00617E98"/>
    <w:rsid w:val="007A7C97"/>
    <w:rsid w:val="007E058B"/>
    <w:rsid w:val="0086086E"/>
    <w:rsid w:val="00882FE0"/>
    <w:rsid w:val="008B67E8"/>
    <w:rsid w:val="008D5A8D"/>
    <w:rsid w:val="008F687A"/>
    <w:rsid w:val="0091192F"/>
    <w:rsid w:val="009D33EF"/>
    <w:rsid w:val="009F3E2C"/>
    <w:rsid w:val="00A27468"/>
    <w:rsid w:val="00A63B25"/>
    <w:rsid w:val="00A82F15"/>
    <w:rsid w:val="00B979B8"/>
    <w:rsid w:val="00BB0148"/>
    <w:rsid w:val="00C25F35"/>
    <w:rsid w:val="00D001A5"/>
    <w:rsid w:val="00D20A67"/>
    <w:rsid w:val="00D550B7"/>
    <w:rsid w:val="00DA3A7E"/>
    <w:rsid w:val="00DC160E"/>
    <w:rsid w:val="00DD0021"/>
    <w:rsid w:val="00DE3641"/>
    <w:rsid w:val="00E02FE4"/>
    <w:rsid w:val="00E2177A"/>
    <w:rsid w:val="00E23C47"/>
    <w:rsid w:val="00E83D7A"/>
    <w:rsid w:val="00F32F2C"/>
    <w:rsid w:val="00FC1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B7"/>
    <w:pPr>
      <w:ind w:left="720"/>
      <w:contextualSpacing/>
    </w:pPr>
  </w:style>
  <w:style w:type="paragraph" w:styleId="NoSpacing">
    <w:name w:val="No Spacing"/>
    <w:uiPriority w:val="1"/>
    <w:qFormat/>
    <w:rsid w:val="00470861"/>
    <w:pPr>
      <w:spacing w:after="0" w:line="240" w:lineRule="auto"/>
    </w:pPr>
  </w:style>
  <w:style w:type="paragraph" w:styleId="Header">
    <w:name w:val="header"/>
    <w:basedOn w:val="Normal"/>
    <w:link w:val="HeaderChar"/>
    <w:uiPriority w:val="99"/>
    <w:unhideWhenUsed/>
    <w:rsid w:val="00470861"/>
    <w:pPr>
      <w:tabs>
        <w:tab w:val="center" w:pos="4680"/>
        <w:tab w:val="right" w:pos="9360"/>
      </w:tabs>
    </w:pPr>
    <w:rPr>
      <w:rFonts w:ascii="YU C Times" w:hAnsi="YU C Times"/>
      <w:sz w:val="22"/>
      <w:szCs w:val="20"/>
    </w:rPr>
  </w:style>
  <w:style w:type="character" w:customStyle="1" w:styleId="HeaderChar">
    <w:name w:val="Header Char"/>
    <w:basedOn w:val="DefaultParagraphFont"/>
    <w:link w:val="Header"/>
    <w:uiPriority w:val="99"/>
    <w:rsid w:val="00470861"/>
    <w:rPr>
      <w:rFonts w:ascii="YU C Times" w:eastAsia="Times New Roman" w:hAnsi="YU C Times" w:cs="Times New Roman"/>
      <w:szCs w:val="20"/>
    </w:rPr>
  </w:style>
</w:styles>
</file>

<file path=word/webSettings.xml><?xml version="1.0" encoding="utf-8"?>
<w:webSettings xmlns:r="http://schemas.openxmlformats.org/officeDocument/2006/relationships" xmlns:w="http://schemas.openxmlformats.org/wordprocessingml/2006/main">
  <w:divs>
    <w:div w:id="12241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dduvnjak</dc:creator>
  <cp:lastModifiedBy>gilic</cp:lastModifiedBy>
  <cp:revision>4</cp:revision>
  <cp:lastPrinted>2021-08-20T06:33:00Z</cp:lastPrinted>
  <dcterms:created xsi:type="dcterms:W3CDTF">2022-06-22T10:43:00Z</dcterms:created>
  <dcterms:modified xsi:type="dcterms:W3CDTF">2022-06-30T09:41:00Z</dcterms:modified>
</cp:coreProperties>
</file>