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45B6" w:rsidRPr="005665EE" w:rsidRDefault="006A45B6" w:rsidP="006A45B6">
      <w:pPr>
        <w:spacing w:before="60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i/>
          <w:iCs/>
          <w:noProof/>
        </w:rPr>
        <w:drawing>
          <wp:inline distT="0" distB="0" distL="0" distR="0">
            <wp:extent cx="895350" cy="1028700"/>
            <wp:effectExtent l="19050" t="0" r="0" b="0"/>
            <wp:docPr id="1" name="Picture 1" descr="Grb_Veliki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_Temp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center"/>
        <w:rPr>
          <w:rFonts w:ascii="Arial" w:hAnsi="Arial" w:cs="Arial"/>
          <w:b/>
          <w:bCs/>
          <w:color w:val="FF0000"/>
          <w:sz w:val="40"/>
          <w:szCs w:val="40"/>
          <w:lang w:val="sr-Cyrl-BA"/>
        </w:rPr>
      </w:pPr>
      <w:r w:rsidRPr="00FB273E"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ГРАД БИЈЕЉИНА</w:t>
      </w: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Pr="0045774D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CS"/>
        </w:rPr>
      </w:pPr>
    </w:p>
    <w:p w:rsidR="006A45B6" w:rsidRPr="005F3483" w:rsidRDefault="006A45B6" w:rsidP="006A45B6">
      <w:pPr>
        <w:spacing w:before="60"/>
        <w:jc w:val="both"/>
        <w:rPr>
          <w:rFonts w:ascii="Arial" w:hAnsi="Arial" w:cs="Arial"/>
          <w:b/>
          <w:bCs/>
          <w:sz w:val="40"/>
          <w:szCs w:val="40"/>
          <w:lang w:val="sr-Cyrl-BA"/>
        </w:rPr>
      </w:pPr>
      <w:r>
        <w:rPr>
          <w:rFonts w:ascii="Arial" w:hAnsi="Arial" w:cs="Arial"/>
          <w:b/>
          <w:bCs/>
          <w:sz w:val="40"/>
          <w:szCs w:val="40"/>
          <w:lang w:val="sr-Cyrl-BA"/>
        </w:rPr>
        <w:t xml:space="preserve">                             </w:t>
      </w:r>
    </w:p>
    <w:p w:rsidR="006A45B6" w:rsidRPr="00FB273E" w:rsidRDefault="006A45B6" w:rsidP="00B53DE2">
      <w:pPr>
        <w:spacing w:before="60"/>
        <w:jc w:val="center"/>
        <w:rPr>
          <w:rFonts w:ascii="Arial" w:hAnsi="Arial" w:cs="Arial"/>
          <w:b/>
          <w:bCs/>
          <w:color w:val="244061"/>
          <w:sz w:val="40"/>
          <w:szCs w:val="40"/>
          <w:lang w:val="sr-Cyrl-BA"/>
        </w:rPr>
      </w:pP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ИНФОРМАЦИЈ</w:t>
      </w:r>
      <w:r w:rsidR="00E00EBC">
        <w:rPr>
          <w:rFonts w:ascii="Arial" w:hAnsi="Arial" w:cs="Arial"/>
          <w:b/>
          <w:bCs/>
          <w:color w:val="244061"/>
          <w:sz w:val="40"/>
          <w:szCs w:val="40"/>
        </w:rPr>
        <w:t>A</w:t>
      </w: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 xml:space="preserve"> О РАДУ</w:t>
      </w:r>
    </w:p>
    <w:p w:rsidR="006A45B6" w:rsidRPr="005665EE" w:rsidRDefault="006A45B6" w:rsidP="00B53DE2">
      <w:pPr>
        <w:spacing w:before="60"/>
        <w:jc w:val="center"/>
        <w:rPr>
          <w:rFonts w:ascii="Arial" w:hAnsi="Arial" w:cs="Arial"/>
          <w:b/>
          <w:bCs/>
          <w:color w:val="244061"/>
          <w:sz w:val="40"/>
          <w:szCs w:val="40"/>
          <w:lang w:val="sr-Cyrl-CS"/>
        </w:rPr>
      </w:pPr>
      <w:r>
        <w:rPr>
          <w:rFonts w:ascii="Arial" w:hAnsi="Arial" w:cs="Arial"/>
          <w:b/>
          <w:bCs/>
          <w:color w:val="244061"/>
          <w:sz w:val="40"/>
          <w:szCs w:val="40"/>
          <w:lang w:val="sr-Cyrl-BA"/>
        </w:rPr>
        <w:t>МЈЕСНИХ ЗАЈЕДНИЦА</w:t>
      </w: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93B1B" w:rsidRDefault="00693B1B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93B1B" w:rsidRPr="00693B1B" w:rsidRDefault="00693B1B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bs-Latn-BA"/>
        </w:rPr>
      </w:pPr>
    </w:p>
    <w:p w:rsidR="006A45B6" w:rsidRPr="00FB273E" w:rsidRDefault="006A45B6" w:rsidP="006A45B6">
      <w:pPr>
        <w:spacing w:before="60"/>
        <w:jc w:val="both"/>
        <w:rPr>
          <w:rFonts w:ascii="Arial" w:hAnsi="Arial" w:cs="Arial"/>
          <w:b/>
          <w:bCs/>
          <w:sz w:val="20"/>
          <w:szCs w:val="20"/>
          <w:lang w:val="sr-Cyrl-BA"/>
        </w:rPr>
      </w:pPr>
    </w:p>
    <w:p w:rsidR="006A45B6" w:rsidRPr="005665EE" w:rsidRDefault="006A45B6" w:rsidP="006A45B6">
      <w:pPr>
        <w:spacing w:before="60"/>
        <w:jc w:val="center"/>
        <w:rPr>
          <w:rFonts w:ascii="Arial" w:hAnsi="Arial" w:cs="Arial"/>
          <w:b/>
          <w:bCs/>
          <w:color w:val="345A8A"/>
          <w:sz w:val="32"/>
          <w:szCs w:val="32"/>
          <w:lang w:val="sr-Cyrl-BA"/>
        </w:rPr>
      </w:pPr>
      <w:r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>Бијељина,</w:t>
      </w:r>
      <w:r w:rsidR="006D5E65"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 xml:space="preserve"> 20</w:t>
      </w:r>
      <w:r w:rsidR="006D5E65">
        <w:rPr>
          <w:rFonts w:ascii="Arial" w:hAnsi="Arial" w:cs="Arial"/>
          <w:b/>
          <w:bCs/>
          <w:color w:val="345A8A"/>
          <w:sz w:val="32"/>
          <w:szCs w:val="32"/>
        </w:rPr>
        <w:t>2</w:t>
      </w:r>
      <w:r w:rsidR="00892031">
        <w:rPr>
          <w:rFonts w:ascii="Arial" w:hAnsi="Arial" w:cs="Arial"/>
          <w:b/>
          <w:bCs/>
          <w:color w:val="345A8A"/>
          <w:sz w:val="32"/>
          <w:szCs w:val="32"/>
        </w:rPr>
        <w:t>2</w:t>
      </w:r>
      <w:r w:rsidRPr="005665EE">
        <w:rPr>
          <w:rFonts w:ascii="Arial" w:hAnsi="Arial" w:cs="Arial"/>
          <w:b/>
          <w:bCs/>
          <w:color w:val="345A8A"/>
          <w:sz w:val="32"/>
          <w:szCs w:val="32"/>
          <w:lang w:val="sr-Cyrl-BA"/>
        </w:rPr>
        <w:t>. година</w:t>
      </w:r>
    </w:p>
    <w:p w:rsidR="00B53DE2" w:rsidRPr="00B53DE2" w:rsidRDefault="00B53DE2">
      <w:pPr>
        <w:rPr>
          <w:rFonts w:ascii="Times New Roman" w:hAnsi="Times New Roman" w:cs="Times New Roman"/>
          <w:b/>
          <w:sz w:val="28"/>
          <w:szCs w:val="28"/>
          <w:lang w:val="bs-Latn-BA"/>
        </w:rPr>
      </w:pPr>
    </w:p>
    <w:p w:rsidR="001E6C83" w:rsidRPr="00326BE5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326BE5">
        <w:rPr>
          <w:rFonts w:ascii="Times New Roman" w:hAnsi="Times New Roman" w:cs="Times New Roman"/>
          <w:b/>
          <w:sz w:val="28"/>
          <w:szCs w:val="28"/>
          <w:lang w:val="sr-Cyrl-BA"/>
        </w:rPr>
        <w:lastRenderedPageBreak/>
        <w:t>ИНФОРМАЦИЈА</w:t>
      </w:r>
    </w:p>
    <w:p w:rsidR="001E6C83" w:rsidRPr="00326BE5" w:rsidRDefault="001E6C83" w:rsidP="00F069A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F069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b/>
          <w:sz w:val="24"/>
          <w:szCs w:val="24"/>
          <w:lang w:val="sr-Cyrl-BA"/>
        </w:rPr>
        <w:t>О РАДУ МЈЕСНИХ ЗАЈЕДНИЦА И О СТАЊУ И КОРИШЋЕЊУ ОБЈЕКАТА МЈЕСНИХ ЗАЈЕДНИЦА НА ПОДРУЧЈУ ГРАДА БИЈЕЉИНА</w:t>
      </w: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73215" w:rsidRPr="00326BE5" w:rsidRDefault="00073215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Према програму рада Скупштине Града Бијељина </w:t>
      </w:r>
    </w:p>
    <w:p w:rsidR="001E6C83" w:rsidRPr="00326BE5" w:rsidRDefault="00073215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6D5E65">
        <w:rPr>
          <w:rFonts w:ascii="Times New Roman" w:hAnsi="Times New Roman" w:cs="Times New Roman"/>
          <w:sz w:val="24"/>
          <w:szCs w:val="24"/>
          <w:lang w:val="sr-Cyrl-BA"/>
        </w:rPr>
        <w:t xml:space="preserve"> 202</w:t>
      </w:r>
      <w:r w:rsidR="00892031">
        <w:rPr>
          <w:rFonts w:ascii="Times New Roman" w:hAnsi="Times New Roman" w:cs="Times New Roman"/>
          <w:sz w:val="24"/>
          <w:szCs w:val="24"/>
        </w:rPr>
        <w:t>2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. годину 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предвиђена је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675C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информација  </w:t>
      </w:r>
    </w:p>
    <w:p w:rsidR="008675C6" w:rsidRPr="00326BE5" w:rsidRDefault="008675C6" w:rsidP="001E6C8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 раду</w:t>
      </w:r>
      <w:r w:rsidR="00D66397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 w:rsidRPr="00326BE5">
        <w:rPr>
          <w:rFonts w:ascii="Times New Roman" w:hAnsi="Times New Roman" w:cs="Times New Roman"/>
          <w:sz w:val="24"/>
          <w:szCs w:val="24"/>
        </w:rPr>
        <w:t>мјесних</w:t>
      </w:r>
      <w:proofErr w:type="spellEnd"/>
      <w:r w:rsidR="00D66397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66397" w:rsidRPr="00326BE5"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о стању и коришћењу објеката </w:t>
      </w:r>
    </w:p>
    <w:p w:rsidR="00073215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мјесних заједница на подручју Града Бијељина</w:t>
      </w:r>
      <w:r w:rsidR="0007321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8675C6" w:rsidRPr="00326BE5" w:rsidRDefault="008675C6" w:rsidP="0007321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BA"/>
        </w:rPr>
      </w:pPr>
    </w:p>
    <w:p w:rsidR="008675C6" w:rsidRPr="00326BE5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1E6C83" w:rsidRPr="00326BE5" w:rsidRDefault="008675C6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Информација о раду мјесних заједница и о стању и кори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>шћењу објеката мјесних заједница на подручју Града Бијељина, обухватиће све оне активности и послове из дјелокруга надлежности мјесних заједница на подручју Града Бије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љина, који су реализовани</w:t>
      </w:r>
      <w:r w:rsidR="0038416C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 20</w:t>
      </w:r>
      <w:r w:rsidR="00D81D51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81D51">
        <w:rPr>
          <w:rFonts w:ascii="Times New Roman" w:hAnsi="Times New Roman" w:cs="Times New Roman"/>
          <w:sz w:val="24"/>
          <w:szCs w:val="24"/>
        </w:rPr>
        <w:t>1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>. години. На подр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учју Града Бијељина егзистира 70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мјесних заједница о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д којих је 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13.</w:t>
      </w:r>
      <w:r w:rsidR="00CA3D6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CA3D64">
        <w:rPr>
          <w:rFonts w:ascii="Times New Roman" w:hAnsi="Times New Roman" w:cs="Times New Roman"/>
          <w:sz w:val="24"/>
          <w:szCs w:val="24"/>
        </w:rPr>
        <w:t>на</w:t>
      </w:r>
      <w:proofErr w:type="spellEnd"/>
      <w:proofErr w:type="gramEnd"/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подручју насељеног мјеста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Бијељина, п</w:t>
      </w:r>
      <w:r w:rsidR="001237D9" w:rsidRPr="00326BE5">
        <w:rPr>
          <w:rFonts w:ascii="Times New Roman" w:hAnsi="Times New Roman" w:cs="Times New Roman"/>
          <w:sz w:val="24"/>
          <w:szCs w:val="24"/>
          <w:lang w:val="sr-Cyrl-BA"/>
        </w:rPr>
        <w:t>реостале мјесне заједнице њих 57</w:t>
      </w:r>
      <w:r w:rsidR="00B8553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су на руралном подручју Града Бијељина. Сеоске мјесне заједнице највећу пажњу и активности испољавају на изградњи и одржавању комуналне инфраструктуре. Када је у питању комунална инфраструктура мјесне заједнице, свака према својим потребама и стању на терену жели да ријеши питање путне мреже, водоводне мреже, ниско-напонске мреже, јавне расвјете, школских и спортских објеката, објеката које користе мјесне заједнице, проширења мјесних гробаља , као и других питања од заначаја и интереса за грађане у мјесним заједницама. </w:t>
      </w:r>
    </w:p>
    <w:p w:rsidR="00B85531" w:rsidRPr="00326BE5" w:rsidRDefault="00B85531" w:rsidP="001E6C8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Потешкоће 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у сеоским мјесним заједницама, када су у питању некатегорисани путеви, односе се на њих</w:t>
      </w:r>
      <w:r w:rsidR="00780957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во одржавање, заштиту од узурпације, затрпавања путних јарака или њиховог неодржавања, 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појава зарастања 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растиња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живице уз некатегорисане путе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>ве, кој</w:t>
      </w:r>
      <w:r w:rsidR="00CE546B">
        <w:rPr>
          <w:rFonts w:ascii="Times New Roman" w:hAnsi="Times New Roman" w:cs="Times New Roman"/>
          <w:sz w:val="24"/>
          <w:szCs w:val="24"/>
        </w:rPr>
        <w:t>a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 је у профилу пута, те утиче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 xml:space="preserve"> да су путеви непрегледни </w:t>
      </w:r>
      <w:proofErr w:type="spellStart"/>
      <w:r w:rsidR="00CE546B">
        <w:rPr>
          <w:rFonts w:ascii="Times New Roman" w:hAnsi="Times New Roman" w:cs="Times New Roman"/>
          <w:sz w:val="24"/>
          <w:szCs w:val="24"/>
        </w:rPr>
        <w:t>чиме</w:t>
      </w:r>
      <w:proofErr w:type="spellEnd"/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е угрожена и сама безбједност учесника у саобраћају. За одржавање некатегорисаних путева потребно је предвидјети већи износ средстава у буџету Града Бијељина. У сарадњи са мјесним заједницама урадити програм одржавања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некатегорисаних путева</w:t>
      </w:r>
      <w:r w:rsidR="00406E41" w:rsidRPr="00326BE5">
        <w:rPr>
          <w:rFonts w:ascii="Times New Roman" w:hAnsi="Times New Roman" w:cs="Times New Roman"/>
          <w:sz w:val="24"/>
          <w:szCs w:val="24"/>
          <w:lang w:val="sr-Cyrl-BA"/>
        </w:rPr>
        <w:t>, минималних потребних количина шљунка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њихово одржавање</w:t>
      </w:r>
      <w:r w:rsidR="004D32F7" w:rsidRPr="00326BE5">
        <w:rPr>
          <w:rFonts w:ascii="Times New Roman" w:hAnsi="Times New Roman" w:cs="Times New Roman"/>
          <w:sz w:val="24"/>
          <w:szCs w:val="24"/>
        </w:rPr>
        <w:t>,</w:t>
      </w:r>
      <w:r w:rsidR="004D32F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B4405" w:rsidRPr="00326BE5">
        <w:rPr>
          <w:rFonts w:ascii="Times New Roman" w:hAnsi="Times New Roman" w:cs="Times New Roman"/>
          <w:sz w:val="24"/>
          <w:szCs w:val="24"/>
        </w:rPr>
        <w:t>као</w:t>
      </w:r>
      <w:proofErr w:type="spellEnd"/>
      <w:r w:rsidR="00FB4405" w:rsidRPr="00326BE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B4405" w:rsidRPr="00326BE5">
        <w:rPr>
          <w:rFonts w:ascii="Times New Roman" w:hAnsi="Times New Roman" w:cs="Times New Roman"/>
          <w:sz w:val="24"/>
          <w:szCs w:val="24"/>
        </w:rPr>
        <w:t>одредити</w:t>
      </w:r>
      <w:proofErr w:type="spellEnd"/>
      <w:r w:rsidR="00FB440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приоритетне</w:t>
      </w:r>
      <w:proofErr w:type="spellEnd"/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некатегорисане </w:t>
      </w:r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путне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правце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82596" w:rsidRPr="00326BE5">
        <w:rPr>
          <w:rFonts w:ascii="Times New Roman" w:hAnsi="Times New Roman" w:cs="Times New Roman"/>
          <w:sz w:val="24"/>
          <w:szCs w:val="24"/>
        </w:rPr>
        <w:t>који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>су</w:t>
      </w:r>
      <w:r w:rsidR="00FB4405" w:rsidRPr="00326BE5">
        <w:rPr>
          <w:rFonts w:ascii="Times New Roman" w:hAnsi="Times New Roman" w:cs="Times New Roman"/>
          <w:sz w:val="24"/>
          <w:szCs w:val="24"/>
        </w:rPr>
        <w:t xml:space="preserve"> о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>д значаја за мјесне заједнице. Потребно је да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се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уочене појаве ефикасно и благовремено рјешавају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 стране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надлежни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х органа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A3B55"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посебно питање узурпације путева,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сас</w:t>
      </w:r>
      <w:r w:rsidR="00CE546B">
        <w:rPr>
          <w:rFonts w:ascii="Times New Roman" w:hAnsi="Times New Roman" w:cs="Times New Roman"/>
          <w:sz w:val="24"/>
          <w:szCs w:val="24"/>
          <w:lang w:val="sr-Cyrl-BA"/>
        </w:rPr>
        <w:t>јецања живице и растиња, заштите</w:t>
      </w:r>
      <w:r w:rsidR="008B0DA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путних јарака од затрпавања,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а тиме би практично и</w:t>
      </w:r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њихово</w:t>
      </w:r>
      <w:r w:rsidR="00FB4405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одржавање изискивало мање новчаних средстава.</w:t>
      </w:r>
    </w:p>
    <w:p w:rsidR="009C607D" w:rsidRPr="00326BE5" w:rsidRDefault="00FB4405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ab/>
        <w:t>Наставити са праксом суфинансирања пошљунчавања некатегорисаних путева уз учешће грађана, у складу са могућностима буџета Града Бијељина.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сеоске мјесне заједнице, треба истаћи питање 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управљање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мјесним гробљима</w:t>
      </w:r>
      <w:r w:rsidR="00270892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Скупшт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>ина Града Бијељина донијела је О</w:t>
      </w:r>
      <w:r w:rsidR="009C607D" w:rsidRPr="00326BE5">
        <w:rPr>
          <w:rFonts w:ascii="Times New Roman" w:hAnsi="Times New Roman" w:cs="Times New Roman"/>
          <w:sz w:val="24"/>
          <w:szCs w:val="24"/>
          <w:lang w:val="sr-Cyrl-BA"/>
        </w:rPr>
        <w:t>длуку о оснивању ЈКП „Градско гробље“ које би управљало  гробљима</w:t>
      </w:r>
      <w:r w:rsidR="000F191C">
        <w:rPr>
          <w:rFonts w:ascii="Times New Roman" w:hAnsi="Times New Roman" w:cs="Times New Roman"/>
          <w:sz w:val="24"/>
          <w:szCs w:val="24"/>
          <w:lang w:val="bs-Latn-BA"/>
        </w:rPr>
        <w:t>. Парцелама које су у власништву Града Бијељина, а које је преузело један мањи број мјесних гробаља на управљање и одржавање, и које би требало преузети и остала мјесна гробља у сеоским мјесним заједницама јер је стање у мјесним гробљима у већини случајева потпуно неуређено а по закону о гробљима и погребној дјелатности (</w:t>
      </w:r>
      <w:r w:rsidR="000F191C">
        <w:rPr>
          <w:rFonts w:ascii="Times New Roman" w:hAnsi="Times New Roman" w:cs="Times New Roman"/>
          <w:sz w:val="24"/>
          <w:szCs w:val="24"/>
          <w:lang w:val="bs-Cyrl-BA"/>
        </w:rPr>
        <w:t>„Службени гласник Републике Српске“ број: 31/13</w:t>
      </w:r>
      <w:r w:rsidR="000F191C">
        <w:rPr>
          <w:rFonts w:ascii="Times New Roman" w:hAnsi="Times New Roman" w:cs="Times New Roman"/>
          <w:sz w:val="24"/>
          <w:szCs w:val="24"/>
          <w:lang w:val="bs-Latn-BA"/>
        </w:rPr>
        <w:t>)</w:t>
      </w:r>
      <w:r w:rsidR="000F191C">
        <w:rPr>
          <w:rFonts w:ascii="Times New Roman" w:hAnsi="Times New Roman" w:cs="Times New Roman"/>
          <w:sz w:val="24"/>
          <w:szCs w:val="24"/>
          <w:lang w:val="bs-Cyrl-BA"/>
        </w:rPr>
        <w:t xml:space="preserve">. </w:t>
      </w:r>
      <w:r w:rsidR="000F191C" w:rsidRPr="00DB0476">
        <w:rPr>
          <w:rFonts w:ascii="Times New Roman" w:hAnsi="Times New Roman" w:cs="Times New Roman"/>
          <w:sz w:val="24"/>
          <w:szCs w:val="24"/>
          <w:lang w:val="bs-Cyrl-BA"/>
        </w:rPr>
        <w:t>Мјесне заједнице немају никакву надлежност везано за управљање и одржавање гробаља</w:t>
      </w:r>
      <w:r w:rsidR="00CA3D64" w:rsidRPr="00DB047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0F191C" w:rsidRPr="00DB047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C607D" w:rsidRPr="00DB0476">
        <w:rPr>
          <w:rFonts w:ascii="Times New Roman" w:hAnsi="Times New Roman" w:cs="Times New Roman"/>
          <w:sz w:val="24"/>
          <w:szCs w:val="24"/>
          <w:lang w:val="sr-Cyrl-BA"/>
        </w:rPr>
        <w:t>Поједине мјесне заједнице имају потребу рјешавања проширења постојећих мјесних гробаља, такви случајеви су</w:t>
      </w:r>
      <w:r w:rsidR="004D32F7" w:rsidRPr="00DB0476">
        <w:rPr>
          <w:rFonts w:ascii="Times New Roman" w:hAnsi="Times New Roman" w:cs="Times New Roman"/>
          <w:sz w:val="24"/>
          <w:szCs w:val="24"/>
          <w:lang w:val="sr-Cyrl-BA"/>
        </w:rPr>
        <w:t xml:space="preserve"> у мјесним </w:t>
      </w:r>
      <w:r w:rsidR="004D32F7" w:rsidRPr="00DB047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заједницама: Обријеж, с</w:t>
      </w:r>
      <w:r w:rsidR="009C607D" w:rsidRPr="00DB0476">
        <w:rPr>
          <w:rFonts w:ascii="Times New Roman" w:hAnsi="Times New Roman" w:cs="Times New Roman"/>
          <w:sz w:val="24"/>
          <w:szCs w:val="24"/>
          <w:lang w:val="sr-Cyrl-BA"/>
        </w:rPr>
        <w:t>ахрањују се умрла лица из Јохов</w:t>
      </w:r>
      <w:r w:rsidR="00986713" w:rsidRPr="00DB0476">
        <w:rPr>
          <w:rFonts w:ascii="Times New Roman" w:hAnsi="Times New Roman" w:cs="Times New Roman"/>
          <w:sz w:val="24"/>
          <w:szCs w:val="24"/>
          <w:lang w:val="sr-Cyrl-BA"/>
        </w:rPr>
        <w:t>ца и Обријежи, Брода</w:t>
      </w:r>
      <w:r w:rsidR="005B34CA" w:rsidRPr="00DB0476">
        <w:rPr>
          <w:rFonts w:ascii="Times New Roman" w:hAnsi="Times New Roman" w:cs="Times New Roman"/>
          <w:sz w:val="24"/>
          <w:szCs w:val="24"/>
          <w:lang w:val="sr-Cyrl-BA"/>
        </w:rPr>
        <w:t>ц, Нови, Батковић и насељено мјесто Тријешница.</w:t>
      </w:r>
    </w:p>
    <w:p w:rsidR="006A4A15" w:rsidRDefault="00270892" w:rsidP="008675C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934E7" w:rsidRPr="00326BE5">
        <w:rPr>
          <w:rFonts w:ascii="Times New Roman" w:hAnsi="Times New Roman" w:cs="Times New Roman"/>
          <w:sz w:val="24"/>
          <w:szCs w:val="24"/>
          <w:lang w:val="sr-Cyrl-BA"/>
        </w:rPr>
        <w:tab/>
      </w:r>
    </w:p>
    <w:p w:rsidR="001E6C83" w:rsidRDefault="00E62F24" w:rsidP="006A4A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="004A7A21" w:rsidRPr="00326BE5">
        <w:rPr>
          <w:rFonts w:ascii="Times New Roman" w:hAnsi="Times New Roman" w:cs="Times New Roman"/>
          <w:sz w:val="24"/>
          <w:szCs w:val="24"/>
          <w:lang w:val="sr-Cyrl-BA"/>
        </w:rPr>
        <w:t>а подручју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сеоских мјесних заједница присутна је појава стварања дивљих депонија комуналног отпада, што повремено изазива потребу њиховог санирања</w:t>
      </w:r>
      <w:r w:rsidR="00C0193B" w:rsidRPr="00326BE5">
        <w:rPr>
          <w:rFonts w:ascii="Times New Roman" w:hAnsi="Times New Roman" w:cs="Times New Roman"/>
          <w:sz w:val="24"/>
          <w:szCs w:val="24"/>
          <w:lang w:val="sr-Cyrl-BA"/>
        </w:rPr>
        <w:t>, као и спречавање настанка</w:t>
      </w:r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нових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различитим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локалитетима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82A6F" w:rsidRPr="00326BE5">
        <w:rPr>
          <w:rFonts w:ascii="Times New Roman" w:hAnsi="Times New Roman" w:cs="Times New Roman"/>
          <w:sz w:val="24"/>
          <w:szCs w:val="24"/>
        </w:rPr>
        <w:t>Уочљиво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су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најчешћи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локалитети</w:t>
      </w:r>
      <w:proofErr w:type="spellEnd"/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дивљих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депонија</w:t>
      </w:r>
      <w:proofErr w:type="spellEnd"/>
      <w:r w:rsidR="00F82A6F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82A6F" w:rsidRPr="00326BE5">
        <w:rPr>
          <w:rFonts w:ascii="Times New Roman" w:hAnsi="Times New Roman" w:cs="Times New Roman"/>
          <w:sz w:val="24"/>
          <w:szCs w:val="24"/>
        </w:rPr>
        <w:t>везан</w:t>
      </w:r>
      <w:r w:rsidR="009A2DE5" w:rsidRPr="00326BE5">
        <w:rPr>
          <w:rFonts w:ascii="Times New Roman" w:hAnsi="Times New Roman" w:cs="Times New Roman"/>
          <w:sz w:val="24"/>
          <w:szCs w:val="24"/>
        </w:rPr>
        <w:t>и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 w:rsidRPr="00326BE5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A2DE5" w:rsidRPr="00326BE5">
        <w:rPr>
          <w:rFonts w:ascii="Times New Roman" w:hAnsi="Times New Roman" w:cs="Times New Roman"/>
          <w:sz w:val="24"/>
          <w:szCs w:val="24"/>
        </w:rPr>
        <w:t>нап</w:t>
      </w:r>
      <w:proofErr w:type="spellEnd"/>
      <w:r w:rsidR="009A2DE5" w:rsidRPr="00326BE5">
        <w:rPr>
          <w:rFonts w:ascii="Times New Roman" w:hAnsi="Times New Roman" w:cs="Times New Roman"/>
          <w:sz w:val="24"/>
          <w:szCs w:val="24"/>
          <w:lang w:val="sr-Cyrl-BA"/>
        </w:rPr>
        <w:t>у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штене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шљункаре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E45FD0" w:rsidRPr="00326BE5">
        <w:rPr>
          <w:rFonts w:ascii="Times New Roman" w:hAnsi="Times New Roman" w:cs="Times New Roman"/>
          <w:sz w:val="24"/>
          <w:szCs w:val="24"/>
        </w:rPr>
        <w:t>водото</w:t>
      </w:r>
      <w:proofErr w:type="spellEnd"/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ке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 w:rsidRPr="00326BE5">
        <w:rPr>
          <w:rFonts w:ascii="Times New Roman" w:hAnsi="Times New Roman" w:cs="Times New Roman"/>
          <w:sz w:val="24"/>
          <w:szCs w:val="24"/>
        </w:rPr>
        <w:t>(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канали</w:t>
      </w:r>
      <w:r w:rsidR="00F82A6F" w:rsidRPr="00326BE5">
        <w:rPr>
          <w:rFonts w:ascii="Times New Roman" w:hAnsi="Times New Roman" w:cs="Times New Roman"/>
          <w:sz w:val="24"/>
          <w:szCs w:val="24"/>
        </w:rPr>
        <w:t>)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, као и гомиле у путним јарцима, или неким другим површинама.</w:t>
      </w:r>
      <w:proofErr w:type="gramEnd"/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 све мјесне заједнице постоји организовани одвоз комуналног одпада, али се наведени</w:t>
      </w:r>
      <w:r w:rsidR="00A82596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проблем јавља као последица неодговорног понашања дијела мјештана, који </w:t>
      </w:r>
      <w:r w:rsidR="00CA3D64">
        <w:rPr>
          <w:rFonts w:ascii="Times New Roman" w:hAnsi="Times New Roman" w:cs="Times New Roman"/>
          <w:sz w:val="24"/>
          <w:szCs w:val="24"/>
          <w:lang w:val="sr-Cyrl-BA"/>
        </w:rPr>
        <w:t xml:space="preserve">вјероватно 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>немају закључен уговор са даваоцем комуналне услуге, нити ту услугу плаћају, већ комунални одпад одлажу на недозвољена мјеста ил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>и га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п</w:t>
      </w:r>
      <w:r w:rsidR="00D66397" w:rsidRPr="00326BE5">
        <w:rPr>
          <w:rFonts w:ascii="Times New Roman" w:hAnsi="Times New Roman" w:cs="Times New Roman"/>
          <w:sz w:val="24"/>
          <w:szCs w:val="24"/>
          <w:lang w:val="sr-Cyrl-BA"/>
        </w:rPr>
        <w:t>овремено уништавају, тако што га</w:t>
      </w:r>
      <w:r w:rsidR="00F82A6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спаљују.</w:t>
      </w:r>
    </w:p>
    <w:p w:rsidR="00DC0C6F" w:rsidRDefault="00DC0C6F" w:rsidP="006A4A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Одсјек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мјесних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заједница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предлаже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69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3769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69D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3769D">
        <w:rPr>
          <w:rFonts w:ascii="Times New Roman" w:hAnsi="Times New Roman" w:cs="Times New Roman"/>
          <w:sz w:val="24"/>
          <w:szCs w:val="24"/>
        </w:rPr>
        <w:t xml:space="preserve"> </w:t>
      </w:r>
      <w:r w:rsidR="00022E17"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 w:rsidR="009A4E43">
        <w:rPr>
          <w:rFonts w:ascii="Times New Roman" w:hAnsi="Times New Roman" w:cs="Times New Roman"/>
          <w:sz w:val="24"/>
          <w:szCs w:val="24"/>
        </w:rPr>
        <w:t>планираним</w:t>
      </w:r>
      <w:proofErr w:type="spellEnd"/>
      <w:r w:rsidR="00022E1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22E17">
        <w:rPr>
          <w:rFonts w:ascii="Times New Roman" w:hAnsi="Times New Roman" w:cs="Times New Roman"/>
          <w:sz w:val="24"/>
          <w:szCs w:val="24"/>
        </w:rPr>
        <w:t>средствима</w:t>
      </w:r>
      <w:proofErr w:type="spellEnd"/>
      <w:r w:rsidR="00EA77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5DD">
        <w:rPr>
          <w:rFonts w:ascii="Times New Roman" w:hAnsi="Times New Roman" w:cs="Times New Roman"/>
          <w:sz w:val="24"/>
          <w:szCs w:val="24"/>
        </w:rPr>
        <w:t>Одјељења</w:t>
      </w:r>
      <w:proofErr w:type="spellEnd"/>
      <w:r w:rsidR="0037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5DD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37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5DD">
        <w:rPr>
          <w:rFonts w:ascii="Times New Roman" w:hAnsi="Times New Roman" w:cs="Times New Roman"/>
          <w:sz w:val="24"/>
          <w:szCs w:val="24"/>
        </w:rPr>
        <w:t>стамбено</w:t>
      </w:r>
      <w:proofErr w:type="spellEnd"/>
      <w:r w:rsidR="0037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5DD">
        <w:rPr>
          <w:rFonts w:ascii="Times New Roman" w:hAnsi="Times New Roman" w:cs="Times New Roman"/>
          <w:sz w:val="24"/>
          <w:szCs w:val="24"/>
        </w:rPr>
        <w:t>комуналне</w:t>
      </w:r>
      <w:proofErr w:type="spellEnd"/>
      <w:r w:rsidR="0037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5DD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="003745D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745DD">
        <w:rPr>
          <w:rFonts w:ascii="Times New Roman" w:hAnsi="Times New Roman" w:cs="Times New Roman"/>
          <w:sz w:val="24"/>
          <w:szCs w:val="24"/>
        </w:rPr>
        <w:t>заштиту</w:t>
      </w:r>
      <w:proofErr w:type="spellEnd"/>
      <w:r w:rsidR="0037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5DD">
        <w:rPr>
          <w:rFonts w:ascii="Times New Roman" w:hAnsi="Times New Roman" w:cs="Times New Roman"/>
          <w:sz w:val="24"/>
          <w:szCs w:val="24"/>
        </w:rPr>
        <w:t>животне</w:t>
      </w:r>
      <w:proofErr w:type="spellEnd"/>
      <w:r w:rsidR="0037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745DD">
        <w:rPr>
          <w:rFonts w:ascii="Times New Roman" w:hAnsi="Times New Roman" w:cs="Times New Roman"/>
          <w:sz w:val="24"/>
          <w:szCs w:val="24"/>
        </w:rPr>
        <w:t>средине</w:t>
      </w:r>
      <w:proofErr w:type="spellEnd"/>
      <w:r w:rsidR="00075CE0">
        <w:rPr>
          <w:rFonts w:ascii="Times New Roman" w:hAnsi="Times New Roman" w:cs="Times New Roman"/>
          <w:sz w:val="24"/>
          <w:szCs w:val="24"/>
        </w:rPr>
        <w:t>,</w:t>
      </w:r>
      <w:r w:rsidR="003745D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A77E6">
        <w:rPr>
          <w:rFonts w:ascii="Times New Roman" w:hAnsi="Times New Roman" w:cs="Times New Roman"/>
          <w:sz w:val="24"/>
          <w:szCs w:val="24"/>
        </w:rPr>
        <w:t>обезбједи</w:t>
      </w:r>
      <w:proofErr w:type="spellEnd"/>
      <w:r w:rsidR="009B17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7AB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="009B17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B17AB">
        <w:rPr>
          <w:rFonts w:ascii="Times New Roman" w:hAnsi="Times New Roman" w:cs="Times New Roman"/>
          <w:sz w:val="24"/>
          <w:szCs w:val="24"/>
        </w:rPr>
        <w:t>санирање</w:t>
      </w:r>
      <w:proofErr w:type="spellEnd"/>
      <w:r w:rsidR="009B17AB">
        <w:rPr>
          <w:rFonts w:ascii="Times New Roman" w:hAnsi="Times New Roman" w:cs="Times New Roman"/>
          <w:sz w:val="24"/>
          <w:szCs w:val="24"/>
        </w:rPr>
        <w:t>, односно уклањање, те предлаже да Комунална полиција врши чешћи надзор депонија</w:t>
      </w:r>
      <w:r w:rsidR="00075CE0">
        <w:rPr>
          <w:rFonts w:ascii="Times New Roman" w:hAnsi="Times New Roman" w:cs="Times New Roman"/>
          <w:sz w:val="24"/>
          <w:szCs w:val="24"/>
        </w:rPr>
        <w:t xml:space="preserve"> као и контролу</w:t>
      </w:r>
      <w:r w:rsidR="00DD72E2">
        <w:rPr>
          <w:rFonts w:ascii="Times New Roman" w:hAnsi="Times New Roman" w:cs="Times New Roman"/>
          <w:sz w:val="24"/>
          <w:szCs w:val="24"/>
        </w:rPr>
        <w:t xml:space="preserve"> одвоза</w:t>
      </w:r>
      <w:r w:rsidR="00AD794D">
        <w:rPr>
          <w:rFonts w:ascii="Times New Roman" w:hAnsi="Times New Roman" w:cs="Times New Roman"/>
          <w:sz w:val="24"/>
          <w:szCs w:val="24"/>
        </w:rPr>
        <w:t xml:space="preserve"> отпада</w:t>
      </w:r>
      <w:r w:rsidR="00A7298B">
        <w:rPr>
          <w:rFonts w:ascii="Times New Roman" w:hAnsi="Times New Roman" w:cs="Times New Roman"/>
          <w:sz w:val="24"/>
          <w:szCs w:val="24"/>
        </w:rPr>
        <w:t xml:space="preserve"> </w:t>
      </w:r>
      <w:r w:rsidR="009B17AB">
        <w:rPr>
          <w:rFonts w:ascii="Times New Roman" w:hAnsi="Times New Roman" w:cs="Times New Roman"/>
          <w:sz w:val="24"/>
          <w:szCs w:val="24"/>
        </w:rPr>
        <w:t xml:space="preserve">како би </w:t>
      </w:r>
      <w:r w:rsidR="00F4488F">
        <w:rPr>
          <w:rFonts w:ascii="Times New Roman" w:hAnsi="Times New Roman" w:cs="Times New Roman"/>
          <w:sz w:val="24"/>
          <w:szCs w:val="24"/>
        </w:rPr>
        <w:t>се спријечило</w:t>
      </w:r>
      <w:r w:rsidR="009B17AB">
        <w:rPr>
          <w:rFonts w:ascii="Times New Roman" w:hAnsi="Times New Roman" w:cs="Times New Roman"/>
          <w:sz w:val="24"/>
          <w:szCs w:val="24"/>
        </w:rPr>
        <w:t xml:space="preserve"> даље ширење или настанак нових дивљих депонија.</w:t>
      </w:r>
      <w:r w:rsidR="00A7298B">
        <w:rPr>
          <w:rFonts w:ascii="Times New Roman" w:hAnsi="Times New Roman" w:cs="Times New Roman"/>
          <w:sz w:val="24"/>
          <w:szCs w:val="24"/>
        </w:rPr>
        <w:t xml:space="preserve"> Постављање видео надзора за надгледање јавних површина на којима се налазе дивље депоније ће такође смањити њихово ширење. </w:t>
      </w:r>
      <w:r w:rsidR="00DD72E2">
        <w:rPr>
          <w:rFonts w:ascii="Times New Roman" w:hAnsi="Times New Roman" w:cs="Times New Roman"/>
          <w:sz w:val="24"/>
          <w:szCs w:val="24"/>
        </w:rPr>
        <w:t xml:space="preserve">Такође предлажемо да се скупштинском одлуком или на неки други начин ријеши питање депоновања грађевинског и пољопривредног отпада (фолија, остаци амбалаже од пестицида и ђубрива) у сеоским мјесним заједницама. </w:t>
      </w:r>
    </w:p>
    <w:p w:rsidR="009B17AB" w:rsidRPr="00F3769D" w:rsidRDefault="009B17AB" w:rsidP="006A4A1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Трајно рјешење дивљих депонија јесте њихово отуђивање, односно продаја</w:t>
      </w:r>
      <w:r w:rsidR="003745DD">
        <w:rPr>
          <w:rFonts w:ascii="Times New Roman" w:hAnsi="Times New Roman" w:cs="Times New Roman"/>
          <w:sz w:val="24"/>
          <w:szCs w:val="24"/>
        </w:rPr>
        <w:t xml:space="preserve"> јавном лицитацијом </w:t>
      </w:r>
      <w:r>
        <w:rPr>
          <w:rFonts w:ascii="Times New Roman" w:hAnsi="Times New Roman" w:cs="Times New Roman"/>
          <w:sz w:val="24"/>
          <w:szCs w:val="24"/>
        </w:rPr>
        <w:t xml:space="preserve">јавних површина на којима се налазе дивље депоније уколико постоји заинтересованих лица за њихову куповину.  </w:t>
      </w:r>
    </w:p>
    <w:p w:rsidR="006A4A15" w:rsidRPr="00ED7AFE" w:rsidRDefault="006A4A15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5095" w:rsidRDefault="00D36BCA" w:rsidP="00932C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Преглед реализованих пројеката изградње водоводних линија у 20</w:t>
      </w:r>
      <w:r w:rsidR="00EF5B1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EF5B1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BA"/>
        </w:rPr>
        <w:t>.г</w:t>
      </w:r>
    </w:p>
    <w:p w:rsidR="00EE2F0E" w:rsidRDefault="00EE2F0E" w:rsidP="00EE2F0E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ED7AFE" w:rsidRPr="00ED7AFE" w:rsidRDefault="00ED7AFE" w:rsidP="00ED7AFE">
      <w:pPr>
        <w:rPr>
          <w:rFonts w:ascii="Times New Roman" w:hAnsi="Times New Roman" w:cs="Times New Roman"/>
          <w:b/>
        </w:rPr>
      </w:pPr>
      <w:r w:rsidRPr="00685519">
        <w:rPr>
          <w:b/>
        </w:rPr>
        <w:t xml:space="preserve"> </w:t>
      </w:r>
      <w:r w:rsidRPr="008C405B">
        <w:rPr>
          <w:rFonts w:ascii="Times New Roman" w:hAnsi="Times New Roman" w:cs="Times New Roman"/>
          <w:b/>
          <w:sz w:val="24"/>
        </w:rPr>
        <w:t>ВОДОВОДНА МРЕЖА</w:t>
      </w:r>
    </w:p>
    <w:p w:rsidR="00ED7AFE" w:rsidRPr="000D30B4" w:rsidRDefault="00ED7AFE" w:rsidP="00ED7AFE">
      <w:pPr>
        <w:ind w:firstLine="720"/>
        <w:jc w:val="both"/>
        <w:rPr>
          <w:rFonts w:ascii="Times New Roman" w:hAnsi="Times New Roman" w:cs="Times New Roman"/>
          <w:sz w:val="24"/>
        </w:rPr>
      </w:pPr>
      <w:r w:rsidRPr="000D30B4">
        <w:rPr>
          <w:rFonts w:ascii="Times New Roman" w:hAnsi="Times New Roman" w:cs="Times New Roman"/>
          <w:sz w:val="24"/>
        </w:rPr>
        <w:t xml:space="preserve">Програмом изградње комуналне инфраструктуре на територији Града Бијељина за 2021. годину за изградњу-проширење водоводних мрежа планирана су средства у износу од 200.000,00 КМ. У складу са </w:t>
      </w:r>
      <w:r w:rsidRPr="000D30B4">
        <w:rPr>
          <w:rFonts w:ascii="Times New Roman" w:hAnsi="Times New Roman" w:cs="Times New Roman"/>
          <w:bCs/>
          <w:sz w:val="24"/>
          <w:lang w:val="ru-RU"/>
        </w:rPr>
        <w:t xml:space="preserve">Одлуком о поступку и критеријумима за суфинансирање пројеката мјесних заједница на подручју Града Бијељина ("Службени гласник </w:t>
      </w:r>
      <w:r w:rsidRPr="000D30B4">
        <w:rPr>
          <w:rFonts w:ascii="Times New Roman" w:hAnsi="Times New Roman" w:cs="Times New Roman"/>
          <w:bCs/>
          <w:sz w:val="24"/>
        </w:rPr>
        <w:t>O</w:t>
      </w:r>
      <w:r w:rsidRPr="000D30B4">
        <w:rPr>
          <w:rFonts w:ascii="Times New Roman" w:hAnsi="Times New Roman" w:cs="Times New Roman"/>
          <w:bCs/>
          <w:sz w:val="24"/>
          <w:lang w:val="ru-RU"/>
        </w:rPr>
        <w:t xml:space="preserve">пштине Бијељина", број: 29/06, 16/08, 29/08, 24/11, 21/12 и 23/19), </w:t>
      </w:r>
      <w:r w:rsidRPr="000D30B4">
        <w:rPr>
          <w:rFonts w:ascii="Times New Roman" w:hAnsi="Times New Roman" w:cs="Times New Roman"/>
          <w:sz w:val="24"/>
        </w:rPr>
        <w:t xml:space="preserve">Град учествује у суфинансирању изградње-проширења водоводних мрежа у износу од 80% а грађани 20%. </w:t>
      </w:r>
    </w:p>
    <w:p w:rsidR="00ED7AFE" w:rsidRPr="000D30B4" w:rsidRDefault="00ED7AFE" w:rsidP="00ED7AFE">
      <w:pPr>
        <w:ind w:firstLine="720"/>
        <w:jc w:val="both"/>
        <w:rPr>
          <w:rFonts w:ascii="Times New Roman" w:hAnsi="Times New Roman" w:cs="Times New Roman"/>
          <w:sz w:val="24"/>
        </w:rPr>
      </w:pPr>
      <w:r w:rsidRPr="000D30B4">
        <w:rPr>
          <w:rFonts w:ascii="Times New Roman" w:hAnsi="Times New Roman" w:cs="Times New Roman"/>
          <w:sz w:val="24"/>
        </w:rPr>
        <w:t xml:space="preserve">У склопу реализације наведеног пројекта, у 2021. години за изградњу-проширење водоводних мрежа на подручју Града Бијељина, потписано је укупно 19 уговора у вриједности од </w:t>
      </w:r>
      <w:r w:rsidRPr="000D30B4">
        <w:rPr>
          <w:rFonts w:ascii="Times New Roman" w:hAnsi="Times New Roman" w:cs="Times New Roman"/>
          <w:bCs/>
          <w:sz w:val="24"/>
        </w:rPr>
        <w:t>143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.</w:t>
      </w:r>
      <w:r w:rsidRPr="000D30B4">
        <w:rPr>
          <w:rFonts w:ascii="Times New Roman" w:hAnsi="Times New Roman" w:cs="Times New Roman"/>
          <w:bCs/>
          <w:sz w:val="24"/>
        </w:rPr>
        <w:t>835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,</w:t>
      </w:r>
      <w:r w:rsidRPr="000D30B4">
        <w:rPr>
          <w:rFonts w:ascii="Times New Roman" w:hAnsi="Times New Roman" w:cs="Times New Roman"/>
          <w:bCs/>
          <w:sz w:val="24"/>
        </w:rPr>
        <w:t>03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 xml:space="preserve"> </w:t>
      </w:r>
      <w:r w:rsidRPr="000D30B4">
        <w:rPr>
          <w:rFonts w:ascii="Times New Roman" w:hAnsi="Times New Roman" w:cs="Times New Roman"/>
          <w:sz w:val="24"/>
        </w:rPr>
        <w:t xml:space="preserve">КМ, од чега су </w:t>
      </w:r>
      <w:r w:rsidRPr="000D30B4">
        <w:rPr>
          <w:rFonts w:ascii="Times New Roman" w:hAnsi="Times New Roman" w:cs="Times New Roman"/>
          <w:bCs/>
          <w:sz w:val="24"/>
        </w:rPr>
        <w:t>115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.</w:t>
      </w:r>
      <w:r w:rsidRPr="000D30B4">
        <w:rPr>
          <w:rFonts w:ascii="Times New Roman" w:hAnsi="Times New Roman" w:cs="Times New Roman"/>
          <w:bCs/>
          <w:sz w:val="24"/>
        </w:rPr>
        <w:t>068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,</w:t>
      </w:r>
      <w:r w:rsidRPr="000D30B4">
        <w:rPr>
          <w:rFonts w:ascii="Times New Roman" w:hAnsi="Times New Roman" w:cs="Times New Roman"/>
          <w:bCs/>
          <w:sz w:val="24"/>
        </w:rPr>
        <w:t>02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 xml:space="preserve"> </w:t>
      </w:r>
      <w:r w:rsidRPr="000D30B4">
        <w:rPr>
          <w:rFonts w:ascii="Times New Roman" w:hAnsi="Times New Roman" w:cs="Times New Roman"/>
          <w:sz w:val="24"/>
        </w:rPr>
        <w:t xml:space="preserve">KM средства из буџета Града Бијељина и </w:t>
      </w:r>
      <w:r w:rsidRPr="000D30B4">
        <w:rPr>
          <w:rFonts w:ascii="Times New Roman" w:hAnsi="Times New Roman" w:cs="Times New Roman"/>
          <w:bCs/>
          <w:sz w:val="24"/>
        </w:rPr>
        <w:t>28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.</w:t>
      </w:r>
      <w:r w:rsidRPr="000D30B4">
        <w:rPr>
          <w:rFonts w:ascii="Times New Roman" w:hAnsi="Times New Roman" w:cs="Times New Roman"/>
          <w:bCs/>
          <w:sz w:val="24"/>
        </w:rPr>
        <w:t>767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>,</w:t>
      </w:r>
      <w:r w:rsidRPr="000D30B4">
        <w:rPr>
          <w:rFonts w:ascii="Times New Roman" w:hAnsi="Times New Roman" w:cs="Times New Roman"/>
          <w:bCs/>
          <w:sz w:val="24"/>
        </w:rPr>
        <w:t>01</w:t>
      </w:r>
      <w:r w:rsidRPr="000D30B4">
        <w:rPr>
          <w:rFonts w:ascii="Times New Roman" w:hAnsi="Times New Roman" w:cs="Times New Roman"/>
          <w:bCs/>
          <w:sz w:val="24"/>
          <w:lang w:val="sr-Cyrl-BA"/>
        </w:rPr>
        <w:t xml:space="preserve"> </w:t>
      </w:r>
      <w:r w:rsidRPr="000D30B4">
        <w:rPr>
          <w:rFonts w:ascii="Times New Roman" w:hAnsi="Times New Roman" w:cs="Times New Roman"/>
          <w:sz w:val="24"/>
        </w:rPr>
        <w:t xml:space="preserve">KM средства мјесних заједница односно грађана. </w:t>
      </w:r>
    </w:p>
    <w:p w:rsidR="00ED7AFE" w:rsidRPr="000D30B4" w:rsidRDefault="00ED7AFE" w:rsidP="00ED7AFE">
      <w:pPr>
        <w:ind w:firstLine="720"/>
        <w:jc w:val="both"/>
        <w:rPr>
          <w:rFonts w:ascii="Times New Roman" w:hAnsi="Times New Roman" w:cs="Times New Roman"/>
          <w:sz w:val="24"/>
        </w:rPr>
      </w:pPr>
      <w:r w:rsidRPr="000D30B4">
        <w:rPr>
          <w:rFonts w:ascii="Times New Roman" w:hAnsi="Times New Roman" w:cs="Times New Roman"/>
          <w:sz w:val="24"/>
        </w:rPr>
        <w:t>Због лоших временских услова рок за реализацију наведених уговора је 30.04.2022. године.</w:t>
      </w:r>
    </w:p>
    <w:p w:rsidR="005E6821" w:rsidRPr="00E60AAB" w:rsidRDefault="00ED7AFE" w:rsidP="00E60AAB">
      <w:pPr>
        <w:ind w:firstLine="720"/>
        <w:jc w:val="both"/>
        <w:rPr>
          <w:rFonts w:ascii="Times New Roman" w:hAnsi="Times New Roman" w:cs="Times New Roman"/>
          <w:sz w:val="24"/>
        </w:rPr>
      </w:pPr>
      <w:proofErr w:type="gramStart"/>
      <w:r w:rsidRPr="000D30B4">
        <w:rPr>
          <w:rFonts w:ascii="Times New Roman" w:hAnsi="Times New Roman" w:cs="Times New Roman"/>
          <w:sz w:val="24"/>
        </w:rPr>
        <w:t>Укупна дужина водоводне мреже која ће се изградити је 2.502,00 м</w:t>
      </w:r>
      <w:r w:rsidRPr="000D30B4">
        <w:rPr>
          <w:rFonts w:ascii="Times New Roman" w:hAnsi="Times New Roman" w:cs="Times New Roman"/>
          <w:sz w:val="24"/>
          <w:vertAlign w:val="superscript"/>
        </w:rPr>
        <w:t>1</w:t>
      </w:r>
      <w:r w:rsidRPr="000D30B4">
        <w:rPr>
          <w:rFonts w:ascii="Times New Roman" w:hAnsi="Times New Roman" w:cs="Times New Roman"/>
          <w:sz w:val="24"/>
        </w:rPr>
        <w:t>.</w:t>
      </w:r>
      <w:proofErr w:type="gramEnd"/>
      <w:r w:rsidRPr="000D30B4">
        <w:rPr>
          <w:rFonts w:ascii="Times New Roman" w:hAnsi="Times New Roman" w:cs="Times New Roman"/>
          <w:sz w:val="24"/>
        </w:rPr>
        <w:t xml:space="preserve"> </w:t>
      </w:r>
    </w:p>
    <w:p w:rsidR="000D30B4" w:rsidRPr="00ED7AFE" w:rsidRDefault="000D30B4" w:rsidP="00ED7AFE">
      <w:pPr>
        <w:rPr>
          <w:rFonts w:ascii="Times New Roman" w:hAnsi="Times New Roman" w:cs="Times New Roman"/>
          <w:b/>
          <w:color w:val="FF0000"/>
        </w:rPr>
      </w:pPr>
    </w:p>
    <w:p w:rsidR="00ED7AFE" w:rsidRPr="00ED7AFE" w:rsidRDefault="00000DD2" w:rsidP="00ED7AFE">
      <w:pPr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0"/>
          <w:szCs w:val="20"/>
        </w:rPr>
        <w:lastRenderedPageBreak/>
        <w:t>Табела</w:t>
      </w:r>
      <w:proofErr w:type="spellEnd"/>
      <w:r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D7AFE" w:rsidRPr="00ED7AF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AFE" w:rsidRPr="00ED7AFE">
        <w:rPr>
          <w:rFonts w:ascii="Times New Roman" w:hAnsi="Times New Roman" w:cs="Times New Roman"/>
          <w:sz w:val="20"/>
          <w:szCs w:val="20"/>
        </w:rPr>
        <w:t>Преглед</w:t>
      </w:r>
      <w:proofErr w:type="spellEnd"/>
      <w:proofErr w:type="gramEnd"/>
      <w:r w:rsidR="00ED7AFE" w:rsidRPr="00ED7AF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AFE" w:rsidRPr="00ED7AFE">
        <w:rPr>
          <w:rFonts w:ascii="Times New Roman" w:hAnsi="Times New Roman" w:cs="Times New Roman"/>
          <w:sz w:val="20"/>
          <w:szCs w:val="20"/>
        </w:rPr>
        <w:t>потписаних</w:t>
      </w:r>
      <w:proofErr w:type="spellEnd"/>
      <w:r w:rsidR="00ED7AFE" w:rsidRPr="00ED7AF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AFE" w:rsidRPr="00ED7AFE">
        <w:rPr>
          <w:rFonts w:ascii="Times New Roman" w:hAnsi="Times New Roman" w:cs="Times New Roman"/>
          <w:sz w:val="20"/>
          <w:szCs w:val="20"/>
        </w:rPr>
        <w:t>уговора</w:t>
      </w:r>
      <w:proofErr w:type="spellEnd"/>
      <w:r w:rsidR="00ED7AFE" w:rsidRPr="00ED7AF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AFE" w:rsidRPr="00ED7AFE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="00ED7AFE" w:rsidRPr="00ED7AF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AFE" w:rsidRPr="00ED7AFE">
        <w:rPr>
          <w:rFonts w:ascii="Times New Roman" w:hAnsi="Times New Roman" w:cs="Times New Roman"/>
          <w:sz w:val="20"/>
          <w:szCs w:val="20"/>
        </w:rPr>
        <w:t>изградњу-проширење</w:t>
      </w:r>
      <w:proofErr w:type="spellEnd"/>
      <w:r w:rsidR="00ED7AFE" w:rsidRPr="00ED7AF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AFE" w:rsidRPr="00ED7AFE">
        <w:rPr>
          <w:rFonts w:ascii="Times New Roman" w:hAnsi="Times New Roman" w:cs="Times New Roman"/>
          <w:sz w:val="20"/>
          <w:szCs w:val="20"/>
        </w:rPr>
        <w:t>водоводних</w:t>
      </w:r>
      <w:proofErr w:type="spellEnd"/>
      <w:r w:rsidR="00ED7AFE" w:rsidRPr="00ED7AF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AFE" w:rsidRPr="00ED7AFE">
        <w:rPr>
          <w:rFonts w:ascii="Times New Roman" w:hAnsi="Times New Roman" w:cs="Times New Roman"/>
          <w:sz w:val="20"/>
          <w:szCs w:val="20"/>
        </w:rPr>
        <w:t>мрежа</w:t>
      </w:r>
      <w:proofErr w:type="spellEnd"/>
      <w:r w:rsidR="00ED7AFE" w:rsidRPr="00ED7AF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AFE" w:rsidRPr="00ED7AFE">
        <w:rPr>
          <w:rFonts w:ascii="Times New Roman" w:hAnsi="Times New Roman" w:cs="Times New Roman"/>
          <w:sz w:val="20"/>
          <w:szCs w:val="20"/>
        </w:rPr>
        <w:t>по</w:t>
      </w:r>
      <w:proofErr w:type="spellEnd"/>
      <w:r w:rsidR="00ED7AFE" w:rsidRPr="00ED7AF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AFE" w:rsidRPr="00ED7AFE">
        <w:rPr>
          <w:rFonts w:ascii="Times New Roman" w:hAnsi="Times New Roman" w:cs="Times New Roman"/>
          <w:sz w:val="20"/>
          <w:szCs w:val="20"/>
        </w:rPr>
        <w:t>мјесним</w:t>
      </w:r>
      <w:proofErr w:type="spellEnd"/>
      <w:r w:rsidR="00ED7AFE" w:rsidRPr="00ED7AF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ED7AFE" w:rsidRPr="00ED7AFE">
        <w:rPr>
          <w:rFonts w:ascii="Times New Roman" w:hAnsi="Times New Roman" w:cs="Times New Roman"/>
          <w:sz w:val="20"/>
          <w:szCs w:val="20"/>
        </w:rPr>
        <w:t>заједницама</w:t>
      </w:r>
      <w:proofErr w:type="spellEnd"/>
    </w:p>
    <w:p w:rsidR="00ED7AFE" w:rsidRPr="00ED7AFE" w:rsidRDefault="00ED7AFE" w:rsidP="00ED7AFE">
      <w:pPr>
        <w:rPr>
          <w:rFonts w:ascii="Times New Roman" w:hAnsi="Times New Roman" w:cs="Times New Roman"/>
          <w:b/>
        </w:rPr>
      </w:pPr>
    </w:p>
    <w:tbl>
      <w:tblPr>
        <w:tblW w:w="9283" w:type="dxa"/>
        <w:tblInd w:w="95" w:type="dxa"/>
        <w:tblLayout w:type="fixed"/>
        <w:tblLook w:val="04A0"/>
      </w:tblPr>
      <w:tblGrid>
        <w:gridCol w:w="553"/>
        <w:gridCol w:w="2970"/>
        <w:gridCol w:w="1080"/>
        <w:gridCol w:w="1620"/>
        <w:gridCol w:w="1440"/>
        <w:gridCol w:w="1620"/>
      </w:tblGrid>
      <w:tr w:rsidR="00ED7AFE" w:rsidRPr="00ED7AFE" w:rsidTr="00C96F83">
        <w:trPr>
          <w:trHeight w:val="615"/>
        </w:trPr>
        <w:tc>
          <w:tcPr>
            <w:tcW w:w="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РБ</w:t>
            </w:r>
          </w:p>
        </w:tc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НАЗИВ МЈЕСНЕ ЗАЈЕДНИЦЕ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Дужина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 xml:space="preserve">БРУТО </w:t>
            </w: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вриједност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основног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уговора</w:t>
            </w:r>
            <w:proofErr w:type="spell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Учешће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Града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Учешће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 xml:space="preserve"> МЗ/</w:t>
            </w: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Грађана</w:t>
            </w:r>
            <w:proofErr w:type="spellEnd"/>
          </w:p>
        </w:tc>
      </w:tr>
      <w:tr w:rsidR="00ED7AFE" w:rsidRPr="00ED7AFE" w:rsidTr="00C96F83">
        <w:trPr>
          <w:trHeight w:val="315"/>
        </w:trPr>
        <w:tc>
          <w:tcPr>
            <w:tcW w:w="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(m)</w:t>
            </w: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ED7AFE" w:rsidRPr="00ED7AFE" w:rsidTr="00C96F83">
        <w:trPr>
          <w:trHeight w:val="20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ПУЧИЛЕ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5,387.90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4,310.32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1,077.58</w:t>
            </w:r>
          </w:p>
        </w:tc>
      </w:tr>
      <w:tr w:rsidR="00ED7AFE" w:rsidRPr="00ED7AFE" w:rsidTr="00C96F83">
        <w:trPr>
          <w:trHeight w:val="9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 xml:space="preserve">МЗ НОВИ ДВОРОВИ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1,806.29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1,445.03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361.26</w:t>
            </w:r>
          </w:p>
        </w:tc>
      </w:tr>
      <w:tr w:rsidR="00ED7AFE" w:rsidRPr="00ED7AFE" w:rsidTr="00C96F83">
        <w:trPr>
          <w:trHeight w:val="1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ГАЛАЦ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4,939.59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3,951.67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987.92</w:t>
            </w:r>
          </w:p>
        </w:tc>
      </w:tr>
      <w:tr w:rsidR="00ED7AFE" w:rsidRPr="00ED7AFE" w:rsidTr="00C96F83">
        <w:trPr>
          <w:trHeight w:val="26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ЦРЊЕЛОВО ДОЊЕ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5,021.77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4,017.42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1,004.35</w:t>
            </w:r>
          </w:p>
        </w:tc>
      </w:tr>
      <w:tr w:rsidR="00ED7AFE" w:rsidRPr="00ED7AFE" w:rsidTr="00C96F83">
        <w:trPr>
          <w:trHeight w:val="6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ЉЕЉЕНЧА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5,878.81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4,703.05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1,175.76</w:t>
            </w:r>
          </w:p>
        </w:tc>
      </w:tr>
      <w:tr w:rsidR="00ED7AFE" w:rsidRPr="00ED7AFE" w:rsidTr="00C96F83">
        <w:trPr>
          <w:trHeight w:val="23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ДВОРОВИ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10,767.93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8,614.34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2,153.59</w:t>
            </w:r>
          </w:p>
        </w:tc>
      </w:tr>
      <w:tr w:rsidR="00ED7AFE" w:rsidRPr="00ED7AFE" w:rsidTr="00C96F83">
        <w:trPr>
          <w:trHeight w:val="224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ВЕЛИНО СЕЛО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8,401.15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6,720.92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1,680.23</w:t>
            </w:r>
          </w:p>
        </w:tc>
      </w:tr>
      <w:tr w:rsidR="00ED7AFE" w:rsidRPr="00ED7AFE" w:rsidTr="00C96F83">
        <w:trPr>
          <w:trHeight w:val="7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ЦРЊЕЛОВО ДОЊЕ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5,509.45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4,407.56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1,101.89</w:t>
            </w:r>
          </w:p>
        </w:tc>
      </w:tr>
      <w:tr w:rsidR="00ED7AFE" w:rsidRPr="00ED7AFE" w:rsidTr="00C96F83">
        <w:trPr>
          <w:trHeight w:val="16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ЦРЊЕЛОВО ДОЊЕ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11,372.35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9,097.88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2,274.47</w:t>
            </w:r>
          </w:p>
        </w:tc>
      </w:tr>
      <w:tr w:rsidR="00ED7AFE" w:rsidRPr="00ED7AFE" w:rsidTr="00C96F83">
        <w:trPr>
          <w:trHeight w:val="17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ВУК КАРАЏИЋ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10,581.43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8,465.14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2,116.29</w:t>
            </w:r>
          </w:p>
        </w:tc>
      </w:tr>
      <w:tr w:rsidR="00ED7AFE" w:rsidRPr="00ED7AFE" w:rsidTr="00C96F83">
        <w:trPr>
          <w:trHeight w:val="18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ЛЕДИНЦИ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17,717.95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14,174.36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3,543.59</w:t>
            </w:r>
          </w:p>
        </w:tc>
      </w:tr>
      <w:tr w:rsidR="00ED7AFE" w:rsidRPr="00ED7AFE" w:rsidTr="00C96F83">
        <w:trPr>
          <w:trHeight w:val="143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12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МЗ ЛЕДИНЦИ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215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11,062.09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8,849.67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2,212.42</w:t>
            </w:r>
          </w:p>
        </w:tc>
      </w:tr>
      <w:tr w:rsidR="00ED7AFE" w:rsidRPr="00ED7AFE" w:rsidTr="00C96F83">
        <w:trPr>
          <w:trHeight w:val="215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13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МЗ ЛЕДИНЦИ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85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6,659.78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5,327.82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D7AFE">
              <w:rPr>
                <w:rFonts w:ascii="Times New Roman" w:hAnsi="Times New Roman" w:cs="Times New Roman"/>
                <w:bCs/>
              </w:rPr>
              <w:t>1,331.96</w:t>
            </w:r>
          </w:p>
        </w:tc>
      </w:tr>
      <w:tr w:rsidR="00ED7AFE" w:rsidRPr="00ED7AFE" w:rsidTr="00C96F83">
        <w:trPr>
          <w:trHeight w:val="10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ДИЈЕЛОВИ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5291.91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4,233.53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1,058.38</w:t>
            </w:r>
          </w:p>
        </w:tc>
      </w:tr>
      <w:tr w:rsidR="00ED7AFE" w:rsidRPr="00ED7AFE" w:rsidTr="00C96F83">
        <w:trPr>
          <w:trHeight w:val="287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ДАШНИЦА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10,207.76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8,166.21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2,041.55</w:t>
            </w:r>
          </w:p>
        </w:tc>
      </w:tr>
      <w:tr w:rsidR="00ED7AFE" w:rsidRPr="00ED7AFE" w:rsidTr="00C96F83">
        <w:trPr>
          <w:trHeight w:val="161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СОКОЛСКИ ДОМ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3,756.54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3,005.23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751.31</w:t>
            </w:r>
          </w:p>
        </w:tc>
      </w:tr>
      <w:tr w:rsidR="00ED7AFE" w:rsidRPr="00ED7AFE" w:rsidTr="00C96F83">
        <w:trPr>
          <w:trHeight w:val="206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 xml:space="preserve">МЗ НОВИ ДВОРОВИ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4,289.49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3,431.59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857.90</w:t>
            </w:r>
          </w:p>
        </w:tc>
      </w:tr>
      <w:tr w:rsidR="00ED7AFE" w:rsidRPr="00ED7AFE" w:rsidTr="00C96F83">
        <w:trPr>
          <w:trHeight w:val="98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ЈАЊА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6,837.49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5,469.99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1,367.50</w:t>
            </w:r>
          </w:p>
        </w:tc>
      </w:tr>
      <w:tr w:rsidR="00ED7AFE" w:rsidRPr="00ED7AFE" w:rsidTr="00C96F83">
        <w:trPr>
          <w:trHeight w:val="8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МЗ ПАТКОВАЧА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8345.35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6676.28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</w:rPr>
            </w:pPr>
            <w:r w:rsidRPr="00ED7AFE">
              <w:rPr>
                <w:rFonts w:ascii="Times New Roman" w:hAnsi="Times New Roman" w:cs="Times New Roman"/>
              </w:rPr>
              <w:t>1669.07</w:t>
            </w:r>
          </w:p>
        </w:tc>
      </w:tr>
      <w:tr w:rsidR="00ED7AFE" w:rsidRPr="00ED7AFE" w:rsidTr="00C96F83">
        <w:trPr>
          <w:trHeight w:val="152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sz w:val="6"/>
                <w:szCs w:val="6"/>
              </w:rPr>
            </w:pPr>
          </w:p>
        </w:tc>
      </w:tr>
      <w:tr w:rsidR="00ED7AFE" w:rsidRPr="00ED7AFE" w:rsidTr="00C96F83">
        <w:trPr>
          <w:trHeight w:val="510"/>
        </w:trPr>
        <w:tc>
          <w:tcPr>
            <w:tcW w:w="352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ED7AFE">
              <w:rPr>
                <w:rFonts w:ascii="Times New Roman" w:hAnsi="Times New Roman" w:cs="Times New Roman"/>
                <w:b/>
                <w:bCs/>
              </w:rPr>
              <w:t>Укупно</w:t>
            </w:r>
            <w:proofErr w:type="spellEnd"/>
            <w:r w:rsidRPr="00ED7AFE">
              <w:rPr>
                <w:rFonts w:ascii="Times New Roman" w:hAnsi="Times New Roman" w:cs="Times New Roman"/>
                <w:b/>
                <w:bCs/>
              </w:rPr>
              <w:t>:</w:t>
            </w:r>
          </w:p>
        </w:tc>
        <w:tc>
          <w:tcPr>
            <w:tcW w:w="10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2502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143,835.03</w:t>
            </w:r>
          </w:p>
        </w:tc>
        <w:tc>
          <w:tcPr>
            <w:tcW w:w="14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115,068.02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:rsidR="00ED7AFE" w:rsidRPr="00ED7AFE" w:rsidRDefault="00ED7AFE" w:rsidP="00C96F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D7AFE">
              <w:rPr>
                <w:rFonts w:ascii="Times New Roman" w:hAnsi="Times New Roman" w:cs="Times New Roman"/>
                <w:b/>
                <w:bCs/>
              </w:rPr>
              <w:t>28,767.01</w:t>
            </w:r>
          </w:p>
        </w:tc>
      </w:tr>
    </w:tbl>
    <w:p w:rsidR="00E735D8" w:rsidRPr="00ED7AFE" w:rsidRDefault="00E735D8" w:rsidP="00E735D8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E735D8" w:rsidRDefault="00E735D8" w:rsidP="00E735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C7291" w:rsidRPr="008C405B" w:rsidRDefault="00BC7291" w:rsidP="00BC7291">
      <w:pPr>
        <w:jc w:val="both"/>
        <w:rPr>
          <w:rFonts w:ascii="Times New Roman" w:eastAsia="Calibri" w:hAnsi="Times New Roman" w:cs="Times New Roman"/>
          <w:b/>
          <w:sz w:val="24"/>
        </w:rPr>
      </w:pPr>
      <w:r w:rsidRPr="00BC7291">
        <w:rPr>
          <w:rFonts w:ascii="Times New Roman" w:eastAsia="Calibri" w:hAnsi="Times New Roman" w:cs="Times New Roman"/>
          <w:b/>
          <w:sz w:val="24"/>
        </w:rPr>
        <w:lastRenderedPageBreak/>
        <w:t>ПУТНА МРЕЖА</w:t>
      </w:r>
    </w:p>
    <w:p w:rsidR="00BC7291" w:rsidRDefault="00BC7291" w:rsidP="008C405B">
      <w:pPr>
        <w:ind w:firstLine="720"/>
        <w:jc w:val="both"/>
        <w:rPr>
          <w:rFonts w:ascii="Times New Roman" w:hAnsi="Times New Roman" w:cs="Times New Roman"/>
          <w:sz w:val="24"/>
        </w:rPr>
      </w:pPr>
      <w:r w:rsidRPr="00BC7291">
        <w:rPr>
          <w:rFonts w:ascii="Times New Roman" w:eastAsia="Calibri" w:hAnsi="Times New Roman" w:cs="Times New Roman"/>
          <w:sz w:val="24"/>
        </w:rPr>
        <w:t>За путну мрежу на територији Града Бијељина, из буџета за 2021. годину, реализовани су и планирани пројекти укупне вриједности 1.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709.990,20</w:t>
      </w:r>
      <w:r w:rsidRPr="00BC7291">
        <w:rPr>
          <w:rFonts w:ascii="Times New Roman" w:eastAsia="Calibri" w:hAnsi="Times New Roman" w:cs="Times New Roman"/>
          <w:sz w:val="24"/>
        </w:rPr>
        <w:t xml:space="preserve"> КМ, од чега је из буџета Града издвојено</w:t>
      </w:r>
      <w:r w:rsidRPr="00BC729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</w:rPr>
        <w:t>.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378.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663,22</w:t>
      </w:r>
      <w:r w:rsidRPr="00BC7291">
        <w:rPr>
          <w:rFonts w:ascii="Times New Roman" w:eastAsia="Calibri" w:hAnsi="Times New Roman" w:cs="Times New Roman"/>
          <w:sz w:val="24"/>
        </w:rPr>
        <w:t xml:space="preserve"> КМ</w:t>
      </w:r>
      <w:r w:rsidRPr="00BC729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7291">
        <w:rPr>
          <w:rFonts w:ascii="Times New Roman" w:eastAsia="Calibri" w:hAnsi="Times New Roman" w:cs="Times New Roman"/>
          <w:sz w:val="24"/>
        </w:rPr>
        <w:t>док је из екстерних извора финансирања обезбијеђено</w:t>
      </w:r>
      <w:r w:rsidRPr="00BC729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331.326,98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</w:t>
      </w:r>
      <w:r w:rsidRPr="00BC7291">
        <w:rPr>
          <w:rFonts w:ascii="Times New Roman" w:eastAsia="Calibri" w:hAnsi="Times New Roman" w:cs="Times New Roman"/>
          <w:sz w:val="24"/>
        </w:rPr>
        <w:t>КМ.</w:t>
      </w:r>
      <w:r w:rsidRPr="00BC7291">
        <w:rPr>
          <w:rFonts w:ascii="Times New Roman" w:eastAsia="Calibri" w:hAnsi="Times New Roman" w:cs="Times New Roman"/>
          <w:color w:val="FF0000"/>
          <w:sz w:val="24"/>
        </w:rPr>
        <w:t xml:space="preserve"> </w:t>
      </w:r>
      <w:r w:rsidRPr="00BC7291">
        <w:rPr>
          <w:rFonts w:ascii="Times New Roman" w:eastAsia="Calibri" w:hAnsi="Times New Roman" w:cs="Times New Roman"/>
          <w:sz w:val="24"/>
        </w:rPr>
        <w:t>Због лоших временских услова један дио пројеката је реализован у 2021. години док ће остатак бити реализован у 2022. години. У сљедећим табелама приказан је преглед извршених и планираних радова (дужина, вриједност изведених радова, учешће Града, учешће екстерних извора финансирања).</w:t>
      </w:r>
    </w:p>
    <w:p w:rsidR="008C405B" w:rsidRPr="008C405B" w:rsidRDefault="008C405B" w:rsidP="008C405B">
      <w:pPr>
        <w:ind w:firstLine="720"/>
        <w:jc w:val="both"/>
        <w:rPr>
          <w:rFonts w:ascii="Times New Roman" w:eastAsia="Calibri" w:hAnsi="Times New Roman" w:cs="Times New Roman"/>
          <w:sz w:val="24"/>
        </w:rPr>
      </w:pPr>
    </w:p>
    <w:p w:rsidR="00BC7291" w:rsidRPr="00BC7291" w:rsidRDefault="00BC7291" w:rsidP="00BC7291">
      <w:pPr>
        <w:numPr>
          <w:ilvl w:val="1"/>
          <w:numId w:val="5"/>
        </w:numPr>
        <w:spacing w:after="0" w:line="240" w:lineRule="auto"/>
        <w:ind w:left="720" w:hanging="720"/>
        <w:rPr>
          <w:rFonts w:ascii="Times New Roman" w:eastAsia="Calibri" w:hAnsi="Times New Roman" w:cs="Times New Roman"/>
          <w:b/>
          <w:sz w:val="24"/>
        </w:rPr>
      </w:pPr>
      <w:r w:rsidRPr="00BC7291">
        <w:rPr>
          <w:rFonts w:ascii="Times New Roman" w:eastAsia="Calibri" w:hAnsi="Times New Roman" w:cs="Times New Roman"/>
          <w:b/>
          <w:sz w:val="24"/>
        </w:rPr>
        <w:t>Реализовани и планирани пројекти на асфалтирању путева и улица са учешћем Града и грађана/ МЗ у 2021. години</w:t>
      </w:r>
    </w:p>
    <w:p w:rsidR="00BC7291" w:rsidRPr="00BC7291" w:rsidRDefault="00BC7291" w:rsidP="00BC7291">
      <w:pPr>
        <w:jc w:val="both"/>
        <w:rPr>
          <w:rFonts w:ascii="Times New Roman" w:eastAsia="Calibri" w:hAnsi="Times New Roman" w:cs="Times New Roman"/>
          <w:b/>
          <w:sz w:val="24"/>
        </w:rPr>
      </w:pPr>
    </w:p>
    <w:p w:rsidR="00BC7291" w:rsidRPr="00BC7291" w:rsidRDefault="00BC7291" w:rsidP="004B3D75">
      <w:pPr>
        <w:ind w:firstLine="720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У 2021. години реализовани су</w:t>
      </w:r>
      <w:r w:rsidRPr="00BC7291">
        <w:rPr>
          <w:rFonts w:ascii="Times New Roman" w:eastAsia="Calibri" w:hAnsi="Times New Roman" w:cs="Times New Roman"/>
          <w:szCs w:val="20"/>
          <w:lang w:val="sr-Cyrl-BA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сљедећи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пројекти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који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 xml:space="preserve"> с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у</w:t>
      </w:r>
      <w:r w:rsidRPr="00BC729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финансира</w:t>
      </w:r>
      <w:proofErr w:type="spellEnd"/>
      <w:r w:rsidRPr="00BC7291">
        <w:rPr>
          <w:rFonts w:ascii="Times New Roman" w:eastAsia="Calibri" w:hAnsi="Times New Roman" w:cs="Times New Roman"/>
          <w:sz w:val="24"/>
          <w:lang w:val="sr-Cyrl-BA"/>
        </w:rPr>
        <w:t>ни</w:t>
      </w:r>
      <w:r w:rsidRPr="00BC729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средствима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Града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 xml:space="preserve"> и </w:t>
      </w:r>
      <w:proofErr w:type="spellStart"/>
      <w:r w:rsidRPr="00BC7291">
        <w:rPr>
          <w:rFonts w:ascii="Times New Roman" w:eastAsia="Calibri" w:hAnsi="Times New Roman" w:cs="Times New Roman"/>
          <w:sz w:val="24"/>
        </w:rPr>
        <w:t>грађана</w:t>
      </w:r>
      <w:proofErr w:type="spellEnd"/>
      <w:r w:rsidRPr="00BC7291">
        <w:rPr>
          <w:rFonts w:ascii="Times New Roman" w:eastAsia="Calibri" w:hAnsi="Times New Roman" w:cs="Times New Roman"/>
          <w:sz w:val="24"/>
        </w:rPr>
        <w:t>: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дијела локалног пута Л-12  С. Чађавица – Г. Драгаљевац, дужине 671, 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, вриједност уговора износи 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116.998,98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дијела некатегорисаног пута у МЗ Црњелово Горње, заселак Јевремовићи и Аничићи, дужине 500,00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, вриједност  уговора износи 55.998,26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улице Мајевичких бригада, кварт 42, у МЗ Нови Дворови, дужине 172,00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32.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146,90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Рударске улице у Бијељини, укупне дужине 208,00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24.995,55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дијела улуце који повезује улице Јеврејску и Сарајевску, дужине 76, 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7.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748,89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BC7291" w:rsidRPr="00BC7291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споредног одвојка улице Кнез Иво од Семберије дионица поред кућног броја 160А, дужине 41,00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3.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699,68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BC7291" w:rsidRPr="00CB38C3" w:rsidRDefault="00BC7291" w:rsidP="00BC729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BC7291">
        <w:rPr>
          <w:rFonts w:ascii="Times New Roman" w:eastAsia="Calibri" w:hAnsi="Times New Roman" w:cs="Times New Roman"/>
          <w:sz w:val="24"/>
          <w:lang w:val="sr-Cyrl-BA"/>
        </w:rPr>
        <w:t>Асфалтирање дијела улица Париске комуне и Пантелинска, дионица поред гробља, дужине 165,00 м</w:t>
      </w:r>
      <w:r w:rsidRPr="00BC7291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, вриједност уговора износи </w:t>
      </w:r>
      <w:r w:rsidRPr="00BC7291">
        <w:rPr>
          <w:rFonts w:ascii="Times New Roman" w:eastAsia="Calibri" w:hAnsi="Times New Roman" w:cs="Times New Roman"/>
          <w:sz w:val="24"/>
          <w:lang w:val="sr-Latn-BA"/>
        </w:rPr>
        <w:t>18.992,26</w:t>
      </w:r>
      <w:r w:rsidRPr="00BC7291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CB38C3" w:rsidRDefault="00CB38C3" w:rsidP="00CB38C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CB38C3" w:rsidRPr="00CB38C3" w:rsidRDefault="00CB38C3" w:rsidP="00CB38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У 2022. години су реализовани и планирани сљедећи пројекти </w:t>
      </w:r>
      <w:proofErr w:type="spellStart"/>
      <w:r w:rsidRPr="00CB38C3">
        <w:rPr>
          <w:rFonts w:ascii="Times New Roman" w:eastAsia="Times New Roman" w:hAnsi="Times New Roman" w:cs="Times New Roman"/>
          <w:sz w:val="24"/>
          <w:szCs w:val="24"/>
        </w:rPr>
        <w:t>који</w:t>
      </w:r>
      <w:proofErr w:type="spellEnd"/>
      <w:r w:rsidRPr="00CB38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38C3">
        <w:rPr>
          <w:rFonts w:ascii="Times New Roman" w:eastAsia="Times New Roman" w:hAnsi="Times New Roman" w:cs="Times New Roman"/>
          <w:sz w:val="24"/>
          <w:szCs w:val="24"/>
        </w:rPr>
        <w:t>се</w:t>
      </w:r>
      <w:proofErr w:type="spellEnd"/>
      <w:r w:rsidRPr="00CB38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38C3">
        <w:rPr>
          <w:rFonts w:ascii="Times New Roman" w:eastAsia="Times New Roman" w:hAnsi="Times New Roman" w:cs="Times New Roman"/>
          <w:sz w:val="24"/>
          <w:szCs w:val="24"/>
        </w:rPr>
        <w:t>финансирају</w:t>
      </w:r>
      <w:proofErr w:type="spellEnd"/>
      <w:r w:rsidRPr="00CB38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38C3">
        <w:rPr>
          <w:rFonts w:ascii="Times New Roman" w:eastAsia="Times New Roman" w:hAnsi="Times New Roman" w:cs="Times New Roman"/>
          <w:sz w:val="24"/>
          <w:szCs w:val="24"/>
        </w:rPr>
        <w:t>средствима</w:t>
      </w:r>
      <w:proofErr w:type="spellEnd"/>
      <w:r w:rsidRPr="00CB38C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CB38C3">
        <w:rPr>
          <w:rFonts w:ascii="Times New Roman" w:eastAsia="Times New Roman" w:hAnsi="Times New Roman" w:cs="Times New Roman"/>
          <w:sz w:val="24"/>
          <w:szCs w:val="24"/>
        </w:rPr>
        <w:t>Града</w:t>
      </w:r>
      <w:proofErr w:type="spellEnd"/>
      <w:r w:rsidRPr="00CB38C3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proofErr w:type="spellStart"/>
      <w:r w:rsidRPr="00CB38C3">
        <w:rPr>
          <w:rFonts w:ascii="Times New Roman" w:eastAsia="Times New Roman" w:hAnsi="Times New Roman" w:cs="Times New Roman"/>
          <w:sz w:val="24"/>
          <w:szCs w:val="24"/>
        </w:rPr>
        <w:t>грађана</w:t>
      </w:r>
      <w:proofErr w:type="spellEnd"/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а финансирају се из буџета Града за 2021. годину.</w:t>
      </w:r>
    </w:p>
    <w:p w:rsidR="00CB38C3" w:rsidRPr="00CB38C3" w:rsidRDefault="00CB38C3" w:rsidP="00CB38C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некатегорисаног пута у МЗ Чађавица Горња, заселак Митрићи – Петковићи, дужине 934,00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99.999,34 КМ.</w:t>
      </w: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некатегорисаног пута катастарске ознаке 2486, к.о. Буковица Доња, заселак Главичорак, у МЗ Буковица Доња, дужине 271,00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33.333,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Latn-BA"/>
        </w:rPr>
        <w:t>01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КМ.</w:t>
      </w: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дијела некатегорисаног пута у МЗ Магнојевић Доњи, заселак Јовићи – Брадарићи, укупне дужине 374,00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35.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Latn-BA"/>
        </w:rPr>
        <w:t>499,25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КМ.</w:t>
      </w: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Асфалтирање дијела Фрушкогорске улице у Бијељини, дионица од кућног броја 21Б до 35, дужине 98,00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14.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Latn-BA"/>
        </w:rPr>
        <w:t>399,60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КМ.</w:t>
      </w: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дијела Фрушкогорске улице у Бијељини, дионица од кућног броја 8 до 8Г, укупне дужине 121,00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15.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Latn-BA"/>
        </w:rPr>
        <w:t>199,28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КМ.</w:t>
      </w: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некатегорисаног пута у МЗ Средња Чађавица, засеок Јефтићи дионица 1, дужине 105,00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 уговора износи 13.400,00 КМ.</w:t>
      </w: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некатегорисаног пута у МЗ Средња Чађавица, засеок Јефтићи дионица 2, дужине 44,00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5.500,00 КМ.</w:t>
      </w: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некатегорисаног пута у МЗ Средња Чађавица, заселак Зечевићи, дужине 170,00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25.400,00 КМ.</w:t>
      </w: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дијела улице Владике Гаврила, ка кућном броју 35, дужине    65,00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7.550,00 КМ.</w:t>
      </w: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дијела улице Петроградска, блок 2, дужине 268,00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37.200,00 КМ.</w:t>
      </w:r>
    </w:p>
    <w:p w:rsidR="00CB38C3" w:rsidRPr="00CB38C3" w:rsidRDefault="00CB38C3" w:rsidP="00CB38C3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некатегорисаног пу</w:t>
      </w:r>
      <w:r>
        <w:rPr>
          <w:rFonts w:ascii="Times New Roman" w:eastAsia="Times New Roman" w:hAnsi="Times New Roman" w:cs="Times New Roman"/>
          <w:sz w:val="24"/>
          <w:szCs w:val="24"/>
          <w:lang w:val="sr-Cyrl-BA"/>
        </w:rPr>
        <w:t>та у МЗ Средњи Драгаљевац, засе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к Димитрићи, дужине 516,00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57.300,00 КМ.</w:t>
      </w:r>
    </w:p>
    <w:p w:rsidR="00CB38C3" w:rsidRPr="00CB38C3" w:rsidRDefault="00CB38C3" w:rsidP="00CB38C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BA"/>
        </w:rPr>
      </w:pP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Асфалтирање споредног одвојка улице Војводе Петра Бојовића, поред кућног броја 104, дужине 208,00 м</w:t>
      </w:r>
      <w:r w:rsidRPr="00CB38C3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CB38C3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14.750,00 КМ.</w:t>
      </w:r>
    </w:p>
    <w:p w:rsidR="00BC7291" w:rsidRDefault="00BC7291" w:rsidP="00BC7291">
      <w:pPr>
        <w:ind w:left="1080"/>
        <w:jc w:val="both"/>
        <w:rPr>
          <w:lang w:val="sr-Cyrl-BA"/>
        </w:rPr>
      </w:pPr>
    </w:p>
    <w:p w:rsidR="004B3D75" w:rsidRPr="004B3D75" w:rsidRDefault="004B3D75" w:rsidP="004B3D75">
      <w:pPr>
        <w:numPr>
          <w:ilvl w:val="1"/>
          <w:numId w:val="5"/>
        </w:numPr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b/>
          <w:sz w:val="24"/>
          <w:lang w:val="sr-Cyrl-BA"/>
        </w:rPr>
      </w:pPr>
      <w:r w:rsidRPr="004B3D75">
        <w:rPr>
          <w:rFonts w:ascii="Times New Roman" w:eastAsia="Calibri" w:hAnsi="Times New Roman" w:cs="Times New Roman"/>
          <w:b/>
          <w:sz w:val="24"/>
          <w:lang w:val="sr-Cyrl-BA"/>
        </w:rPr>
        <w:t>Реализовани пројекти током 2021. године у сарадњи са Федералним министарством расељених особа и избјеглица</w:t>
      </w:r>
    </w:p>
    <w:p w:rsidR="004B3D75" w:rsidRPr="004B3D75" w:rsidRDefault="004B3D75" w:rsidP="004B3D75">
      <w:pPr>
        <w:jc w:val="both"/>
        <w:rPr>
          <w:rFonts w:ascii="Times New Roman" w:eastAsia="Calibri" w:hAnsi="Times New Roman" w:cs="Times New Roman"/>
          <w:b/>
          <w:sz w:val="24"/>
          <w:lang w:val="sr-Cyrl-BA"/>
        </w:rPr>
      </w:pPr>
    </w:p>
    <w:p w:rsidR="004B3D75" w:rsidRPr="004B3D75" w:rsidRDefault="004B3D75" w:rsidP="004B3D75">
      <w:pPr>
        <w:ind w:firstLine="720"/>
        <w:jc w:val="both"/>
        <w:rPr>
          <w:rFonts w:ascii="Times New Roman" w:eastAsia="Calibri" w:hAnsi="Times New Roman" w:cs="Times New Roman"/>
          <w:sz w:val="24"/>
        </w:rPr>
      </w:pPr>
      <w:r w:rsidRPr="004B3D75">
        <w:rPr>
          <w:rFonts w:ascii="Times New Roman" w:eastAsia="Calibri" w:hAnsi="Times New Roman" w:cs="Times New Roman"/>
          <w:sz w:val="24"/>
        </w:rPr>
        <w:t>У 2021. години реализовани су сљедећи пројекти који су финасирани средствима Града и Федералног министарства расељених особа и избјеглица: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</w:rPr>
        <w:t>Асфалтирање улица Илинданска, Велића сокак и Суљића сокак, МЗ Јања, Град Бијељина, укупне дужине 176,00 м</w:t>
      </w:r>
      <w:r w:rsidRPr="004B3D75">
        <w:rPr>
          <w:rFonts w:ascii="Times New Roman" w:eastAsia="Calibri" w:hAnsi="Times New Roman" w:cs="Times New Roman"/>
          <w:sz w:val="24"/>
          <w:vertAlign w:val="superscript"/>
        </w:rPr>
        <w:t>1</w:t>
      </w:r>
      <w:r w:rsidRPr="004B3D75">
        <w:rPr>
          <w:rFonts w:ascii="Times New Roman" w:eastAsia="Calibri" w:hAnsi="Times New Roman" w:cs="Times New Roman"/>
          <w:sz w:val="24"/>
        </w:rPr>
        <w:t>, вриједност уговора износи 19.420,83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</w:rPr>
        <w:t>Асфалтирање улица Брзава, Карасалиховића сокак, МЗ Јања, Град Бијељина, укупне дужине 80 м</w:t>
      </w:r>
      <w:r w:rsidRPr="004B3D75">
        <w:rPr>
          <w:rFonts w:ascii="Times New Roman" w:eastAsia="Calibri" w:hAnsi="Times New Roman" w:cs="Times New Roman"/>
          <w:sz w:val="24"/>
          <w:vertAlign w:val="superscript"/>
        </w:rPr>
        <w:t>1</w:t>
      </w:r>
      <w:r w:rsidRPr="004B3D75">
        <w:rPr>
          <w:rFonts w:ascii="Times New Roman" w:eastAsia="Calibri" w:hAnsi="Times New Roman" w:cs="Times New Roman"/>
          <w:sz w:val="24"/>
        </w:rPr>
        <w:t>, вриједност уговора износи 10.813,89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</w:rPr>
        <w:t>Асфалтирање улице Саве Ковачевића, МЗ Јања, Град Бијељина, укупне дужине 470,00 м</w:t>
      </w:r>
      <w:r w:rsidRPr="004B3D75">
        <w:rPr>
          <w:rFonts w:ascii="Times New Roman" w:eastAsia="Calibri" w:hAnsi="Times New Roman" w:cs="Times New Roman"/>
          <w:sz w:val="24"/>
          <w:vertAlign w:val="superscript"/>
        </w:rPr>
        <w:t>1</w:t>
      </w:r>
      <w:r w:rsidRPr="004B3D75">
        <w:rPr>
          <w:rFonts w:ascii="Times New Roman" w:eastAsia="Calibri" w:hAnsi="Times New Roman" w:cs="Times New Roman"/>
          <w:sz w:val="24"/>
        </w:rPr>
        <w:t>, вриједност уговора износи 44.935,02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</w:rPr>
        <w:t>Асфалтирање улице Бијељинска, МЗ Јања, Град Бијељина, укупне дужине      200 м</w:t>
      </w:r>
      <w:r w:rsidRPr="004B3D75">
        <w:rPr>
          <w:rFonts w:ascii="Times New Roman" w:eastAsia="Calibri" w:hAnsi="Times New Roman" w:cs="Times New Roman"/>
          <w:sz w:val="24"/>
          <w:vertAlign w:val="superscript"/>
        </w:rPr>
        <w:t>1</w:t>
      </w:r>
      <w:r w:rsidRPr="004B3D75">
        <w:rPr>
          <w:rFonts w:ascii="Times New Roman" w:eastAsia="Calibri" w:hAnsi="Times New Roman" w:cs="Times New Roman"/>
          <w:sz w:val="24"/>
        </w:rPr>
        <w:t>, вриједност уговора износи 29.893,50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улице Десанке Максимовић, МЗ Јања, Град Бијељина, укупне дужине 130,00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 xml:space="preserve">, вриједност уговора износи </w:t>
      </w:r>
      <w:r w:rsidRPr="004B3D75">
        <w:rPr>
          <w:rFonts w:ascii="Times New Roman" w:eastAsia="Calibri" w:hAnsi="Times New Roman" w:cs="Times New Roman"/>
          <w:sz w:val="24"/>
        </w:rPr>
        <w:t>13.667,16 KM.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proofErr w:type="spellStart"/>
      <w:r w:rsidRPr="004B3D75">
        <w:rPr>
          <w:rFonts w:ascii="Times New Roman" w:eastAsia="Calibri" w:hAnsi="Times New Roman" w:cs="Times New Roman"/>
          <w:sz w:val="24"/>
        </w:rPr>
        <w:t>Асфалтирање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улице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Арсенија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Чарнојевића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Град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Бијељина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,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укупне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дужине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121</w:t>
      </w:r>
      <w:proofErr w:type="gramStart"/>
      <w:r w:rsidRPr="004B3D75">
        <w:rPr>
          <w:rFonts w:ascii="Times New Roman" w:eastAsia="Calibri" w:hAnsi="Times New Roman" w:cs="Times New Roman"/>
          <w:sz w:val="24"/>
        </w:rPr>
        <w:t>,00</w:t>
      </w:r>
      <w:proofErr w:type="gramEnd"/>
      <w:r w:rsidRPr="004B3D75">
        <w:rPr>
          <w:rFonts w:ascii="Times New Roman" w:eastAsia="Calibri" w:hAnsi="Times New Roman" w:cs="Times New Roman"/>
          <w:sz w:val="24"/>
        </w:rPr>
        <w:t xml:space="preserve">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15.440,28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улице Браће Благојевић, МЗ Јања, Град Бијељина, укупне дужине 250,00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28.387,42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Cs w:val="20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улице Владике Гаврила дио, Град Бијељина, укупне дужине 140,00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18.737,15 КМ.</w:t>
      </w:r>
    </w:p>
    <w:p w:rsidR="00BC7291" w:rsidRDefault="004B3D75" w:rsidP="008C405B">
      <w:pPr>
        <w:ind w:left="1080"/>
        <w:jc w:val="both"/>
        <w:rPr>
          <w:rFonts w:ascii="Times New Roman" w:hAnsi="Times New Roman" w:cs="Times New Roman"/>
          <w:sz w:val="24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Реконструкција моста преко ријеке Јање, Град Бијељина, вриједност уговора износи 16.852,33 КМ.</w:t>
      </w:r>
    </w:p>
    <w:p w:rsidR="008C405B" w:rsidRDefault="008C405B" w:rsidP="008C405B">
      <w:pPr>
        <w:ind w:left="1080"/>
        <w:jc w:val="both"/>
        <w:rPr>
          <w:rFonts w:ascii="Times New Roman" w:hAnsi="Times New Roman" w:cs="Times New Roman"/>
          <w:sz w:val="24"/>
        </w:rPr>
      </w:pPr>
    </w:p>
    <w:p w:rsidR="003B002A" w:rsidRPr="003B002A" w:rsidRDefault="003B002A" w:rsidP="003B002A">
      <w:pPr>
        <w:numPr>
          <w:ilvl w:val="1"/>
          <w:numId w:val="5"/>
        </w:num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B002A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Планирани пројекти у 2022. години на асфалтирању путева и улица у сарадњи са Министарством за за људска права и избјеглице БиХ, а који се финансирају из буџета за 2021. годину.</w:t>
      </w:r>
    </w:p>
    <w:p w:rsidR="003B002A" w:rsidRPr="003B002A" w:rsidRDefault="003B002A" w:rsidP="003B002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002A" w:rsidRPr="003B002A" w:rsidRDefault="003B002A" w:rsidP="003B00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02A">
        <w:rPr>
          <w:rFonts w:ascii="Times New Roman" w:eastAsia="Times New Roman" w:hAnsi="Times New Roman" w:cs="Times New Roman"/>
          <w:sz w:val="24"/>
          <w:szCs w:val="24"/>
        </w:rPr>
        <w:t>У 2022. години планирани су сљедећи пројекти који ће се финасирани средствима Града и Министарства за људска права и избјеглице БиХ из буџета за 2021. годину:</w:t>
      </w:r>
    </w:p>
    <w:p w:rsidR="003B002A" w:rsidRPr="003B002A" w:rsidRDefault="003B002A" w:rsidP="003B00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002A" w:rsidRPr="003B002A" w:rsidRDefault="003B002A" w:rsidP="003B002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02A">
        <w:rPr>
          <w:rFonts w:ascii="Times New Roman" w:eastAsia="Times New Roman" w:hAnsi="Times New Roman" w:cs="Times New Roman"/>
          <w:sz w:val="24"/>
          <w:szCs w:val="24"/>
        </w:rPr>
        <w:t>Асфалтирање-реконструкција улице Браће Лазић, МЗ Јања, Град Бијељина, укупне дужине 180,00 м</w:t>
      </w:r>
      <w:r w:rsidRPr="003B002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3B002A">
        <w:rPr>
          <w:rFonts w:ascii="Times New Roman" w:eastAsia="Times New Roman" w:hAnsi="Times New Roman" w:cs="Times New Roman"/>
          <w:sz w:val="24"/>
          <w:szCs w:val="24"/>
        </w:rPr>
        <w:t xml:space="preserve">, вриједност радова износи 36.219,69 КМ. Средства у укупном износу обезбиједило је Министарство, док је обавеза Града Бијељина била провођење поступка јавне набавке и праћења реализације уговора. </w:t>
      </w:r>
    </w:p>
    <w:p w:rsidR="003B002A" w:rsidRPr="003B002A" w:rsidRDefault="003B002A" w:rsidP="003B002A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002A" w:rsidRPr="003B002A" w:rsidRDefault="003B002A" w:rsidP="003B002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02A">
        <w:rPr>
          <w:rFonts w:ascii="Times New Roman" w:eastAsia="Times New Roman" w:hAnsi="Times New Roman" w:cs="Times New Roman"/>
          <w:sz w:val="24"/>
          <w:szCs w:val="24"/>
        </w:rPr>
        <w:t>Наставак асфалтирања Мачванске улице у Бијељини, укупне дужине 495,00 м</w:t>
      </w:r>
      <w:r w:rsidRPr="003B002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3B002A">
        <w:rPr>
          <w:rFonts w:ascii="Times New Roman" w:eastAsia="Times New Roman" w:hAnsi="Times New Roman" w:cs="Times New Roman"/>
          <w:sz w:val="24"/>
          <w:szCs w:val="24"/>
        </w:rPr>
        <w:t>, вриједност радова износи 48.000,00 КМ, од чега Град финансира 38.000,00 КМ, а Министарство 10.000,00 КМ. Уговор за предметне радове је у фази потписивања.</w:t>
      </w:r>
    </w:p>
    <w:p w:rsidR="003B002A" w:rsidRPr="008C405B" w:rsidRDefault="003B002A" w:rsidP="003B002A">
      <w:pPr>
        <w:jc w:val="both"/>
        <w:rPr>
          <w:rFonts w:ascii="Times New Roman" w:hAnsi="Times New Roman" w:cs="Times New Roman"/>
          <w:sz w:val="24"/>
        </w:rPr>
      </w:pPr>
    </w:p>
    <w:p w:rsidR="004B3D75" w:rsidRPr="004B3D75" w:rsidRDefault="004B3D75" w:rsidP="004B3D75">
      <w:pPr>
        <w:numPr>
          <w:ilvl w:val="1"/>
          <w:numId w:val="5"/>
        </w:numPr>
        <w:spacing w:after="0" w:line="240" w:lineRule="auto"/>
        <w:ind w:left="720" w:hanging="720"/>
        <w:jc w:val="both"/>
        <w:rPr>
          <w:rFonts w:ascii="Times New Roman" w:eastAsia="Calibri" w:hAnsi="Times New Roman" w:cs="Times New Roman"/>
          <w:b/>
          <w:sz w:val="24"/>
        </w:rPr>
      </w:pPr>
      <w:r w:rsidRPr="004B3D75">
        <w:rPr>
          <w:rFonts w:ascii="Times New Roman" w:eastAsia="Calibri" w:hAnsi="Times New Roman" w:cs="Times New Roman"/>
          <w:b/>
          <w:sz w:val="24"/>
        </w:rPr>
        <w:t>Реализовани пројекти у 2021. години на асфалтирању саобраћајница које финансира Град у цјелокупном износу</w:t>
      </w:r>
    </w:p>
    <w:p w:rsidR="004B3D75" w:rsidRPr="004B3D75" w:rsidRDefault="004B3D75" w:rsidP="004B3D75">
      <w:pPr>
        <w:jc w:val="both"/>
        <w:rPr>
          <w:rFonts w:ascii="Times New Roman" w:eastAsia="Calibri" w:hAnsi="Times New Roman" w:cs="Times New Roman"/>
          <w:b/>
          <w:sz w:val="24"/>
        </w:rPr>
      </w:pPr>
    </w:p>
    <w:p w:rsidR="004B3D75" w:rsidRPr="008C405B" w:rsidRDefault="004B3D75" w:rsidP="004B3D75">
      <w:pPr>
        <w:ind w:firstLine="720"/>
        <w:jc w:val="both"/>
        <w:rPr>
          <w:rFonts w:ascii="Times New Roman" w:eastAsia="Calibri" w:hAnsi="Times New Roman" w:cs="Times New Roman"/>
          <w:sz w:val="24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 xml:space="preserve">У 2021. години су реализовани сљедећи пројекти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који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се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финансирају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</w:t>
      </w:r>
      <w:proofErr w:type="spellStart"/>
      <w:r w:rsidRPr="004B3D75">
        <w:rPr>
          <w:rFonts w:ascii="Times New Roman" w:eastAsia="Calibri" w:hAnsi="Times New Roman" w:cs="Times New Roman"/>
          <w:sz w:val="24"/>
        </w:rPr>
        <w:t>средствима</w:t>
      </w:r>
      <w:proofErr w:type="spellEnd"/>
      <w:r w:rsidRPr="004B3D75">
        <w:rPr>
          <w:rFonts w:ascii="Times New Roman" w:eastAsia="Calibri" w:hAnsi="Times New Roman" w:cs="Times New Roman"/>
          <w:sz w:val="24"/>
        </w:rPr>
        <w:t xml:space="preserve"> Града</w:t>
      </w:r>
      <w:r w:rsidR="008C405B">
        <w:rPr>
          <w:rFonts w:ascii="Times New Roman" w:hAnsi="Times New Roman" w:cs="Times New Roman"/>
          <w:sz w:val="24"/>
        </w:rPr>
        <w:t>: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дијела улице Толстојева, дионица од кућног броја 59 до 32, дужине 78,00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 xml:space="preserve">, вриједност уговора износи </w:t>
      </w:r>
      <w:r w:rsidRPr="004B3D75">
        <w:rPr>
          <w:rFonts w:ascii="Times New Roman" w:eastAsia="Calibri" w:hAnsi="Times New Roman" w:cs="Times New Roman"/>
          <w:sz w:val="24"/>
          <w:lang w:val="sr-Latn-BA"/>
        </w:rPr>
        <w:t>10.495,77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4B3D75" w:rsidRPr="004B3D75" w:rsidRDefault="004B3D75" w:rsidP="004B3D75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4B3D75">
        <w:rPr>
          <w:rFonts w:ascii="Times New Roman" w:eastAsia="Calibri" w:hAnsi="Times New Roman" w:cs="Times New Roman"/>
          <w:sz w:val="24"/>
          <w:lang w:val="sr-Cyrl-BA"/>
        </w:rPr>
        <w:t>Асфалтирање дијела улице Стефана Дечанског, катастарске ознаке к.п. 1619/7, и 1619/6, к.о. Бијељина 1, дужине 60,00 м</w:t>
      </w:r>
      <w:r w:rsidRPr="004B3D75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1</w:t>
      </w:r>
      <w:r w:rsidRPr="004B3D75">
        <w:rPr>
          <w:rFonts w:ascii="Times New Roman" w:eastAsia="Calibri" w:hAnsi="Times New Roman" w:cs="Times New Roman"/>
          <w:sz w:val="24"/>
          <w:lang w:val="sr-Cyrl-BA"/>
        </w:rPr>
        <w:t>, вриједност уговора износи      8.497,24 КМ.</w:t>
      </w:r>
    </w:p>
    <w:p w:rsidR="004B3D75" w:rsidRPr="003B002A" w:rsidRDefault="004B3D75" w:rsidP="003B002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3B002A">
        <w:rPr>
          <w:rFonts w:ascii="Times New Roman" w:eastAsia="Calibri" w:hAnsi="Times New Roman" w:cs="Times New Roman"/>
          <w:sz w:val="24"/>
          <w:lang w:val="sr-Cyrl-BA"/>
        </w:rPr>
        <w:t>Асфалтирање дијела улице Кнез Иво од Семберије, поред Соколског дома у Бијељини, са припадајућим површинама, укупне површине 700 м</w:t>
      </w:r>
      <w:r w:rsidRPr="003B002A">
        <w:rPr>
          <w:rFonts w:ascii="Times New Roman" w:eastAsia="Calibri" w:hAnsi="Times New Roman" w:cs="Times New Roman"/>
          <w:sz w:val="24"/>
          <w:vertAlign w:val="superscript"/>
          <w:lang w:val="sr-Cyrl-BA"/>
        </w:rPr>
        <w:t>2</w:t>
      </w:r>
      <w:r w:rsidRPr="003B002A">
        <w:rPr>
          <w:rFonts w:ascii="Times New Roman" w:eastAsia="Calibri" w:hAnsi="Times New Roman" w:cs="Times New Roman"/>
          <w:sz w:val="24"/>
          <w:lang w:val="sr-Cyrl-BA"/>
        </w:rPr>
        <w:t xml:space="preserve">, вриједност уговора износи </w:t>
      </w:r>
      <w:r w:rsidRPr="003B002A">
        <w:rPr>
          <w:rFonts w:ascii="Times New Roman" w:eastAsia="Calibri" w:hAnsi="Times New Roman" w:cs="Times New Roman"/>
          <w:sz w:val="24"/>
          <w:lang w:val="sr-Latn-BA"/>
        </w:rPr>
        <w:t>39.999,37</w:t>
      </w:r>
      <w:r w:rsidRPr="003B002A">
        <w:rPr>
          <w:rFonts w:ascii="Times New Roman" w:eastAsia="Calibri" w:hAnsi="Times New Roman" w:cs="Times New Roman"/>
          <w:sz w:val="24"/>
          <w:lang w:val="sr-Cyrl-BA"/>
        </w:rPr>
        <w:t xml:space="preserve"> КМ.</w:t>
      </w:r>
    </w:p>
    <w:p w:rsidR="003B002A" w:rsidRDefault="003B002A" w:rsidP="008C40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</w:p>
    <w:p w:rsidR="003B002A" w:rsidRPr="003B002A" w:rsidRDefault="003B002A" w:rsidP="003B002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02A">
        <w:rPr>
          <w:rFonts w:ascii="Times New Roman" w:eastAsia="Times New Roman" w:hAnsi="Times New Roman" w:cs="Times New Roman"/>
          <w:sz w:val="24"/>
          <w:szCs w:val="24"/>
        </w:rPr>
        <w:t>Уговори који су потписани и чија реализација почиње у 2022. години и уговори који су у фази потписивања или реализације, а финансирају се у цјелокупном износу из буџета Града Бијељина за 2021. годину су сљедећи:</w:t>
      </w:r>
    </w:p>
    <w:p w:rsidR="003B002A" w:rsidRPr="003B002A" w:rsidRDefault="003B002A" w:rsidP="003B002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B002A" w:rsidRPr="003B002A" w:rsidRDefault="003B002A" w:rsidP="003B002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02A">
        <w:rPr>
          <w:rFonts w:ascii="Times New Roman" w:eastAsia="Times New Roman" w:hAnsi="Times New Roman" w:cs="Times New Roman"/>
          <w:sz w:val="24"/>
          <w:szCs w:val="24"/>
        </w:rPr>
        <w:t>Асфалтирање путног појаса локалног пута Л-4 Бијељина-Батковић-Клис, у МЗ Батковић, дионица у зони основне школе, дужине 137,00 м</w:t>
      </w:r>
      <w:r w:rsidRPr="003B002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3B002A">
        <w:rPr>
          <w:rFonts w:ascii="Times New Roman" w:eastAsia="Times New Roman" w:hAnsi="Times New Roman" w:cs="Times New Roman"/>
          <w:sz w:val="24"/>
          <w:szCs w:val="24"/>
        </w:rPr>
        <w:t>, вриједност уговора износи 60.000 КМ.</w:t>
      </w:r>
    </w:p>
    <w:p w:rsidR="003B002A" w:rsidRPr="003B002A" w:rsidRDefault="003B002A" w:rsidP="003B002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t>Н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Latn-BA"/>
        </w:rPr>
        <w:t>аставак асфалтирања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путног појаса локалног пута Л-4 Бијељина-Батковић-Клис, у МЗ Батковић, диониса непосредно испред основне школе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Latn-BA"/>
        </w:rPr>
        <w:t xml:space="preserve">, дужине 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Latn-BA"/>
        </w:rPr>
        <w:t>44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t>,00 м</w:t>
      </w:r>
      <w:r w:rsidRPr="003B002A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10.000,00 КМ.</w:t>
      </w:r>
    </w:p>
    <w:p w:rsidR="003B002A" w:rsidRPr="003B002A" w:rsidRDefault="003B002A" w:rsidP="003B002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t>Реконструкција тротоара у улици Гаврила Принципа у Бијељини, укупне површине 2628 м</w:t>
      </w:r>
      <w:r w:rsidRPr="003B002A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2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, вриједност уговора износи 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Latn-BA"/>
        </w:rPr>
        <w:t>209.839,21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t xml:space="preserve"> КМ.</w:t>
      </w:r>
    </w:p>
    <w:p w:rsidR="003B002A" w:rsidRPr="003B002A" w:rsidRDefault="003B002A" w:rsidP="003B002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lastRenderedPageBreak/>
        <w:t>Изградња пјешачке зоне и уређење платоа са урбаним мобилијаром у Улици Патријарха Павла у Бијељини, дужине 250 м</w:t>
      </w:r>
      <w:r w:rsidRPr="003B002A">
        <w:rPr>
          <w:rFonts w:ascii="Times New Roman" w:eastAsia="Times New Roman" w:hAnsi="Times New Roman" w:cs="Times New Roman"/>
          <w:sz w:val="24"/>
          <w:szCs w:val="24"/>
          <w:vertAlign w:val="superscript"/>
          <w:lang w:val="sr-Cyrl-BA"/>
        </w:rPr>
        <w:t>1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t>, вриједност уговора износи 402.480,00 КМ.</w:t>
      </w:r>
    </w:p>
    <w:p w:rsidR="003B002A" w:rsidRPr="003B002A" w:rsidRDefault="003B002A" w:rsidP="003B002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002A">
        <w:rPr>
          <w:rFonts w:ascii="Times New Roman" w:eastAsia="Times New Roman" w:hAnsi="Times New Roman" w:cs="Times New Roman"/>
          <w:sz w:val="24"/>
          <w:szCs w:val="24"/>
        </w:rPr>
        <w:t>Изградња пјешачке стазе у путном појасу магистралног пута М-1 113, дионица Бијељина 2-Угљевичка Обријеж, на стационажи од км 1+550 до 1+750, дужине 200,00 м</w:t>
      </w:r>
      <w:r w:rsidRPr="003B002A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1</w:t>
      </w:r>
      <w:r w:rsidRPr="003B002A">
        <w:rPr>
          <w:rFonts w:ascii="Times New Roman" w:eastAsia="Times New Roman" w:hAnsi="Times New Roman" w:cs="Times New Roman"/>
          <w:sz w:val="24"/>
          <w:szCs w:val="24"/>
        </w:rPr>
        <w:t>, вриједност уговора износи 55.000,00 КМ.</w:t>
      </w:r>
    </w:p>
    <w:p w:rsidR="003B002A" w:rsidRPr="003B002A" w:rsidRDefault="003B002A" w:rsidP="003B002A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B002A">
        <w:rPr>
          <w:rFonts w:ascii="Times New Roman" w:eastAsia="Times New Roman" w:hAnsi="Times New Roman" w:cs="Times New Roman"/>
          <w:sz w:val="24"/>
          <w:szCs w:val="24"/>
        </w:rPr>
        <w:t>Набавка</w:t>
      </w:r>
      <w:proofErr w:type="spellEnd"/>
      <w:r w:rsidRPr="003B002A">
        <w:rPr>
          <w:rFonts w:ascii="Times New Roman" w:eastAsia="Times New Roman" w:hAnsi="Times New Roman" w:cs="Times New Roman"/>
          <w:sz w:val="24"/>
          <w:szCs w:val="24"/>
        </w:rPr>
        <w:t xml:space="preserve"> и </w:t>
      </w:r>
      <w:r w:rsidRPr="003B002A">
        <w:rPr>
          <w:rFonts w:ascii="Times New Roman" w:eastAsia="Times New Roman" w:hAnsi="Times New Roman" w:cs="Times New Roman"/>
          <w:sz w:val="24"/>
          <w:szCs w:val="24"/>
          <w:lang w:val="sr-Cyrl-BA"/>
        </w:rPr>
        <w:t>постављање свјетлосно-сигналног уређаја и опреме за смиривање саобраћаја у зони пјешачког прелаза у Улици Кулина Бана у Бијељини, вриједност уговора износи 11.200,00 КМ.</w:t>
      </w:r>
    </w:p>
    <w:p w:rsidR="003B002A" w:rsidRPr="003B002A" w:rsidRDefault="003B002A" w:rsidP="008C405B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</w:p>
    <w:p w:rsidR="00CB38C3" w:rsidRPr="00CB38C3" w:rsidRDefault="00CB38C3" w:rsidP="00CB38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4"/>
        </w:rPr>
      </w:pPr>
    </w:p>
    <w:p w:rsidR="00BC7291" w:rsidRPr="008C405B" w:rsidRDefault="00BC7291" w:rsidP="008C405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735D8" w:rsidRDefault="00E735D8" w:rsidP="00E735D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Одсјек за послове мјесних заједница не располаже средствима у буџету Града Бијељина, те утрошена средства за реализацију пројеката мјесних заједница евидентира Одјељење за стамбено-комуналне послове и заштиту животне средине. Током 20</w:t>
      </w:r>
      <w:r w:rsidR="00EF5B14">
        <w:rPr>
          <w:rFonts w:ascii="Times New Roman" w:hAnsi="Times New Roman" w:cs="Times New Roman"/>
          <w:sz w:val="24"/>
          <w:szCs w:val="24"/>
        </w:rPr>
        <w:t>21</w:t>
      </w:r>
      <w:r>
        <w:rPr>
          <w:rFonts w:ascii="Times New Roman" w:hAnsi="Times New Roman" w:cs="Times New Roman"/>
          <w:sz w:val="24"/>
          <w:szCs w:val="24"/>
          <w:lang w:val="sr-Cyrl-BA"/>
        </w:rPr>
        <w:t>.године квалитетно и благовремено одрађени сви послови из надлежности Одсјека везани за мјесне заједнице, као и за потребе органа, установа и институција. Упоређивањем са предходном годином, података везаних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C1C93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lang w:val="sr-Cyrl-BA"/>
        </w:rPr>
        <w:t>дсјек за послове мјесних заједница, може се констатовати да су резултати рада одсјека приближно исти. Реализовани пројекти проширења водоводних линија и асфалтирања су допринијели побољшању квалитета услова  живота и рада грађана, уједно су и задовољене исказане потребе становништва. Спољни утицаји на рад Одсјека за послове мјесних заједница, везани су за активност рада савјета мјесних заједница, као и финансијске могућности грађана за пројекте суфинансирања. Њихов утицај се огледа у укупном обиму послова Одсјека који им пружа стручну и администартивну помоћ.  Унутрашњи утицаји нису имали значај на рад Одсјека. Кључни резултати рада су у реализацији поднесака мјесних заједница, реализације дијела кандидованих пројеката и рјешавању питања за које је надлежна Градска управа Града Бијељина.</w:t>
      </w:r>
    </w:p>
    <w:p w:rsidR="0007342E" w:rsidRPr="00986713" w:rsidRDefault="0007342E" w:rsidP="000734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F090A" w:rsidRPr="00326BE5" w:rsidRDefault="00E72096" w:rsidP="005D547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Када су у питању објекти у мјесним заједнцама, њихово 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стање и начин коришћ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ења, треба истаћи да на подручју Града Бијељина постоји 74 објекта која користе мјесне заједнице или удружења грађана на подручју мјесне заједнице. Већина тих објеката, у складу са законом о преносу права друштвене својине на јединицу локалне самоуправе („Службени Гласник Републике Српске“ број:70/06) укњижен је у корист Општине Бијељина, осим у случајевима г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дје нису имовинско-правни однос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и ријешени. </w:t>
      </w:r>
    </w:p>
    <w:p w:rsidR="00614AF8" w:rsidRDefault="0093070D" w:rsidP="00B044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Објекти домова културе у сеоским срединама се углавном користе за зборове грађана као и друга друштвена окупљања</w:t>
      </w:r>
      <w:r w:rsidR="00703488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93070D" w:rsidRPr="00B04447" w:rsidRDefault="0093070D" w:rsidP="00B0444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Друга група</w:t>
      </w:r>
      <w:r w:rsidRPr="00326BE5">
        <w:rPr>
          <w:rFonts w:ascii="Times New Roman" w:hAnsi="Times New Roman" w:cs="Times New Roman"/>
          <w:sz w:val="24"/>
          <w:szCs w:val="24"/>
        </w:rPr>
        <w:t xml:space="preserve">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објеката ткз. читаонице су у релативно солидном стању</w:t>
      </w:r>
      <w:r w:rsidR="00703488">
        <w:rPr>
          <w:rFonts w:ascii="Times New Roman" w:hAnsi="Times New Roman" w:cs="Times New Roman"/>
          <w:sz w:val="24"/>
          <w:szCs w:val="24"/>
          <w:lang w:val="sr-Cyrl-BA"/>
        </w:rPr>
        <w:t xml:space="preserve"> ,али је потребно редовно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одржавање.</w:t>
      </w:r>
    </w:p>
    <w:p w:rsidR="0093070D" w:rsidRDefault="0093070D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Домове културе у сеоским мјесним заједницама, користе мјесне заједнице, м</w:t>
      </w:r>
      <w:r>
        <w:rPr>
          <w:rFonts w:ascii="Times New Roman" w:hAnsi="Times New Roman" w:cs="Times New Roman"/>
          <w:sz w:val="24"/>
          <w:szCs w:val="24"/>
          <w:lang w:val="sr-Cyrl-BA"/>
        </w:rPr>
        <w:t>јесни фудба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л</w:t>
      </w:r>
      <w:r>
        <w:rPr>
          <w:rFonts w:ascii="Times New Roman" w:hAnsi="Times New Roman" w:cs="Times New Roman"/>
          <w:sz w:val="24"/>
          <w:szCs w:val="24"/>
        </w:rPr>
        <w:t>с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ки клубови, културно-умјетничка друштва, удружења грађана, борци, пензионери, ловци, док у појединим објектима су смјештене амбуланте породичне медицине и поште Републике Српске (Велика Обарска, Горње Црњелово, Доњи Драгаљевац, Главичице, Суво Поље, Ченгић, Горња Чађавица, Вршани, Трњаци, Бродац, Батковић, Модран, Пучиле</w:t>
      </w:r>
      <w:r>
        <w:rPr>
          <w:rFonts w:ascii="Times New Roman" w:hAnsi="Times New Roman" w:cs="Times New Roman"/>
          <w:sz w:val="24"/>
          <w:szCs w:val="24"/>
          <w:lang w:val="sr-Cyrl-BA"/>
        </w:rPr>
        <w:t>,Буковица Доња,</w:t>
      </w:r>
      <w:r w:rsidR="00A3259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Бањица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:rsidR="0093070D" w:rsidRDefault="00B04447" w:rsidP="00E45FD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Градске мјесне заједнице користе објекте за потребе својих активности, а стање тих објеката је углавном задовољавајуће. У предходном периоду се није улагало у поједине објекте те је потребно  да се у наредном периоду предвиде одређена новчана 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средства у буџету Града Бијељина, за најнужније санације односно одржавање. Просторије које нису потребне за рад мјесних заједница издате су у закуп, а так</w:t>
      </w:r>
      <w:r w:rsidR="00A944C1">
        <w:rPr>
          <w:rFonts w:ascii="Times New Roman" w:hAnsi="Times New Roman" w:cs="Times New Roman"/>
          <w:sz w:val="24"/>
          <w:szCs w:val="24"/>
        </w:rPr>
        <w:t>а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случ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ај је у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ној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заједниц</w:t>
      </w:r>
      <w:r w:rsidR="00A944C1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„Центар</w:t>
      </w:r>
      <w:r w:rsidR="00143186">
        <w:rPr>
          <w:rFonts w:ascii="Times New Roman" w:hAnsi="Times New Roman" w:cs="Times New Roman"/>
          <w:sz w:val="24"/>
          <w:szCs w:val="24"/>
          <w:lang w:val="sr-Cyrl-BA"/>
        </w:rPr>
        <w:t>“</w:t>
      </w:r>
      <w:r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Мјесне заједнице „Вељко Лукић“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„Центар“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 „15.Мајевичка“ немају објекте за рад Савјета</w:t>
      </w:r>
      <w:r w:rsidR="0072587E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Из тих разлога Градска управа Града Бијељи</w:t>
      </w:r>
      <w:r w:rsidR="0054775B">
        <w:rPr>
          <w:rFonts w:ascii="Times New Roman" w:hAnsi="Times New Roman" w:cs="Times New Roman"/>
          <w:sz w:val="24"/>
          <w:szCs w:val="24"/>
          <w:lang w:val="sr-Cyrl-BA"/>
        </w:rPr>
        <w:t xml:space="preserve">на, узела је у закуп просторије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наведене мјесне заједнице,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како би Савјети мјесних заједница имали услове за свој рад.</w:t>
      </w:r>
    </w:p>
    <w:p w:rsidR="00251E0A" w:rsidRPr="002025C2" w:rsidRDefault="00B70B4C" w:rsidP="00251E0A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54F69" w:rsidRPr="002025C2">
        <w:rPr>
          <w:rFonts w:ascii="Times New Roman" w:hAnsi="Times New Roman" w:cs="Times New Roman"/>
          <w:sz w:val="24"/>
          <w:szCs w:val="24"/>
          <w:lang w:val="sr-Cyrl-BA"/>
        </w:rPr>
        <w:t>Увиђајући потребу</w:t>
      </w:r>
      <w:r w:rsidRPr="002025C2">
        <w:rPr>
          <w:rFonts w:ascii="Times New Roman" w:hAnsi="Times New Roman" w:cs="Times New Roman"/>
          <w:sz w:val="24"/>
          <w:szCs w:val="24"/>
          <w:lang w:val="sr-Cyrl-BA"/>
        </w:rPr>
        <w:t xml:space="preserve"> реконструкциј</w:t>
      </w:r>
      <w:r w:rsidR="00D54F69" w:rsidRPr="002025C2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Pr="002025C2">
        <w:rPr>
          <w:rFonts w:ascii="Times New Roman" w:hAnsi="Times New Roman" w:cs="Times New Roman"/>
          <w:sz w:val="24"/>
          <w:szCs w:val="24"/>
          <w:lang w:val="sr-Cyrl-BA"/>
        </w:rPr>
        <w:t xml:space="preserve"> домова културе и уређења домова културе и читаоница по мјесним заједни</w:t>
      </w:r>
      <w:r w:rsidR="00D54F69" w:rsidRPr="002025C2">
        <w:rPr>
          <w:rFonts w:ascii="Times New Roman" w:hAnsi="Times New Roman" w:cs="Times New Roman"/>
          <w:sz w:val="24"/>
          <w:szCs w:val="24"/>
          <w:lang w:val="sr-Cyrl-BA"/>
        </w:rPr>
        <w:t>цама, извршена је санација објеката и просторија у следећим мјесним заједницама:</w:t>
      </w:r>
      <w:r w:rsidRPr="002025C2"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МЗ Јоховац – реновирање кровне конструкције на дому културе 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Глоговац – изградња темеља објекта за потребе мјесног гробља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Драгаљевац Доњи – реновирање просторија мјесне заједнице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Горње Црњелово – реновирање просторија мјесног уреда односно матичне службе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Галац –</w:t>
      </w:r>
      <w:r w:rsidR="009A358A">
        <w:rPr>
          <w:rFonts w:ascii="Times New Roman" w:hAnsi="Times New Roman" w:cs="Times New Roman"/>
          <w:sz w:val="24"/>
          <w:szCs w:val="24"/>
        </w:rPr>
        <w:t xml:space="preserve"> и</w:t>
      </w:r>
      <w:r>
        <w:rPr>
          <w:rFonts w:ascii="Times New Roman" w:hAnsi="Times New Roman" w:cs="Times New Roman"/>
          <w:sz w:val="24"/>
          <w:szCs w:val="24"/>
        </w:rPr>
        <w:t xml:space="preserve">зградња приступне рампе за особе са инвалидитетом, удружење „Импулс“ </w:t>
      </w:r>
    </w:p>
    <w:p w:rsidR="00251E0A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МЗ Чађавица Доња – реновирање крова и мокрих чворова, кад дозволе временски услови</w:t>
      </w:r>
    </w:p>
    <w:p w:rsidR="00251E0A" w:rsidRPr="00F37A55" w:rsidRDefault="00251E0A" w:rsidP="00251E0A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МЗ Батковић – прикључак дома културе на постојећу водоводну мрежу </w:t>
      </w:r>
    </w:p>
    <w:p w:rsidR="00F37A55" w:rsidRDefault="00F37A55" w:rsidP="00F37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37A55" w:rsidRDefault="00F37A55" w:rsidP="00F37A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На територији Града Бијељина постоје домови културе у сеоским мјесним заједницама који су руинирани и представљају опасност за грађане мјесних заједница</w:t>
      </w:r>
      <w:r w:rsidR="00085124">
        <w:rPr>
          <w:rFonts w:ascii="Times New Roman" w:hAnsi="Times New Roman" w:cs="Times New Roman"/>
          <w:sz w:val="24"/>
          <w:szCs w:val="24"/>
        </w:rPr>
        <w:t>. Домови културе у мјесним заједницама Међаши, Загони и Мала Обарска су у јако лошем стању</w:t>
      </w:r>
      <w:r w:rsidR="00A27A5A">
        <w:rPr>
          <w:rFonts w:ascii="Times New Roman" w:hAnsi="Times New Roman" w:cs="Times New Roman"/>
          <w:sz w:val="24"/>
          <w:szCs w:val="24"/>
        </w:rPr>
        <w:t xml:space="preserve"> те је потре</w:t>
      </w:r>
      <w:r w:rsidR="002918F5">
        <w:rPr>
          <w:rFonts w:ascii="Times New Roman" w:hAnsi="Times New Roman" w:cs="Times New Roman"/>
          <w:sz w:val="24"/>
          <w:szCs w:val="24"/>
        </w:rPr>
        <w:t>бно њихово рушење, док у мјесним заједницама</w:t>
      </w:r>
      <w:r w:rsidR="00A27A5A">
        <w:rPr>
          <w:rFonts w:ascii="Times New Roman" w:hAnsi="Times New Roman" w:cs="Times New Roman"/>
          <w:sz w:val="24"/>
          <w:szCs w:val="24"/>
        </w:rPr>
        <w:t xml:space="preserve"> Суво Поље</w:t>
      </w:r>
      <w:r w:rsidR="00F1070C">
        <w:rPr>
          <w:rFonts w:ascii="Times New Roman" w:hAnsi="Times New Roman" w:cs="Times New Roman"/>
          <w:sz w:val="24"/>
          <w:szCs w:val="24"/>
        </w:rPr>
        <w:t>, Доња Чађ</w:t>
      </w:r>
      <w:r w:rsidR="002918F5">
        <w:rPr>
          <w:rFonts w:ascii="Times New Roman" w:hAnsi="Times New Roman" w:cs="Times New Roman"/>
          <w:sz w:val="24"/>
          <w:szCs w:val="24"/>
        </w:rPr>
        <w:t>авица</w:t>
      </w:r>
      <w:r w:rsidR="00215338">
        <w:rPr>
          <w:rFonts w:ascii="Times New Roman" w:hAnsi="Times New Roman" w:cs="Times New Roman"/>
          <w:sz w:val="24"/>
          <w:szCs w:val="24"/>
        </w:rPr>
        <w:t xml:space="preserve">, </w:t>
      </w:r>
      <w:r w:rsidR="002918F5">
        <w:rPr>
          <w:rFonts w:ascii="Times New Roman" w:hAnsi="Times New Roman" w:cs="Times New Roman"/>
          <w:sz w:val="24"/>
          <w:szCs w:val="24"/>
        </w:rPr>
        <w:t>Доња Буковица</w:t>
      </w:r>
      <w:r w:rsidR="00215338">
        <w:rPr>
          <w:rFonts w:ascii="Times New Roman" w:hAnsi="Times New Roman" w:cs="Times New Roman"/>
          <w:sz w:val="24"/>
          <w:szCs w:val="24"/>
        </w:rPr>
        <w:t xml:space="preserve"> и Модран</w:t>
      </w:r>
      <w:r w:rsidR="002918F5">
        <w:rPr>
          <w:rFonts w:ascii="Times New Roman" w:hAnsi="Times New Roman" w:cs="Times New Roman"/>
          <w:sz w:val="24"/>
          <w:szCs w:val="24"/>
        </w:rPr>
        <w:t xml:space="preserve"> </w:t>
      </w:r>
      <w:r w:rsidR="00A27A5A">
        <w:rPr>
          <w:rFonts w:ascii="Times New Roman" w:hAnsi="Times New Roman" w:cs="Times New Roman"/>
          <w:sz w:val="24"/>
          <w:szCs w:val="24"/>
        </w:rPr>
        <w:t xml:space="preserve">постоји могућност реновирање објекта уколико постоје новчана средства. </w:t>
      </w:r>
    </w:p>
    <w:p w:rsidR="00A32596" w:rsidRDefault="00A32596" w:rsidP="00A3259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A32596" w:rsidRPr="00623875" w:rsidRDefault="00575EEA" w:rsidP="00A325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</w:t>
      </w:r>
      <w:r w:rsidR="00A32596" w:rsidRPr="00623875">
        <w:rPr>
          <w:rFonts w:ascii="Times New Roman" w:hAnsi="Times New Roman" w:cs="Times New Roman"/>
          <w:sz w:val="24"/>
          <w:szCs w:val="24"/>
          <w:lang w:val="sr-Cyrl-BA"/>
        </w:rPr>
        <w:t xml:space="preserve">Свим грађанима који су жељели да пријаве порез на непокретности, на обрасцима (ПФРН, ЗОПН, ЗУПО, ПВОН) извршена бесплатна услуга, од стране службеника Одсјека за послове мјесних  заједница.    </w:t>
      </w:r>
    </w:p>
    <w:p w:rsidR="00B04447" w:rsidRPr="00AC7B89" w:rsidRDefault="00B04447" w:rsidP="00AC7B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B3D8E" w:rsidRDefault="005579BE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326BE5">
        <w:rPr>
          <w:rFonts w:ascii="Times New Roman" w:hAnsi="Times New Roman" w:cs="Times New Roman"/>
          <w:sz w:val="24"/>
          <w:szCs w:val="24"/>
          <w:lang w:val="sr-Cyrl-BA"/>
        </w:rPr>
        <w:t>Скупштина Гр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ада Бијељина када су у питању о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>бјекти које користе мјесне заједнице на подручју Града Бијељина требала би у наредном периоду предвидјети сре</w:t>
      </w:r>
      <w:r w:rsidR="00514CF0" w:rsidRPr="00326BE5">
        <w:rPr>
          <w:rFonts w:ascii="Times New Roman" w:hAnsi="Times New Roman" w:cs="Times New Roman"/>
          <w:sz w:val="24"/>
          <w:szCs w:val="24"/>
          <w:lang w:val="sr-Cyrl-BA"/>
        </w:rPr>
        <w:t>дства у буџету Града Бијељина, те</w:t>
      </w:r>
      <w:r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урадити план и програм санације објеката. Такође је потребно донјети Одлуку Скупштине Града Бијељина која би јасно дефинисала </w:t>
      </w:r>
      <w:r w:rsidR="006C1519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F0BCC" w:rsidRPr="00326BE5">
        <w:rPr>
          <w:rFonts w:ascii="Times New Roman" w:hAnsi="Times New Roman" w:cs="Times New Roman"/>
          <w:sz w:val="24"/>
          <w:szCs w:val="24"/>
          <w:lang w:val="sr-Cyrl-BA"/>
        </w:rPr>
        <w:t>услове и начин коришћења о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бјеката у складу са З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883615" w:rsidRPr="00326BE5">
        <w:rPr>
          <w:rFonts w:ascii="Times New Roman" w:hAnsi="Times New Roman" w:cs="Times New Roman"/>
          <w:sz w:val="24"/>
          <w:szCs w:val="24"/>
          <w:lang w:val="sr-Cyrl-BA"/>
        </w:rPr>
        <w:t>коном и С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татутом Града. Мјесне заједнице на подручју Града Бијељина, у наредном периоду, у сарадњи са Градском управом Града Бијељина, требало би да припреме планове и програме изградње  и одржавања објеката комуналне инфраструктуре на подручју сваке мјесне заједнице, што би олакшало планирање и 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>динамику њ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>иховог рјешавања на цјелокупном подручју Града Бијељина. Савјети мјесних заје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>дница у најчешћем случају су слабо активни,</w:t>
      </w:r>
      <w:r w:rsidR="009B7DA2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B6E0D" w:rsidRPr="00326BE5">
        <w:rPr>
          <w:rFonts w:ascii="Times New Roman" w:hAnsi="Times New Roman" w:cs="Times New Roman"/>
          <w:sz w:val="24"/>
          <w:szCs w:val="24"/>
          <w:lang w:val="sr-Cyrl-BA"/>
        </w:rPr>
        <w:t>ријеђе се одржавају саста</w:t>
      </w:r>
      <w:r w:rsidR="008604AC" w:rsidRPr="00326BE5">
        <w:rPr>
          <w:rFonts w:ascii="Times New Roman" w:hAnsi="Times New Roman" w:cs="Times New Roman"/>
          <w:sz w:val="24"/>
          <w:szCs w:val="24"/>
          <w:lang w:val="sr-Cyrl-BA"/>
        </w:rPr>
        <w:t>нци савјета</w:t>
      </w:r>
      <w:r w:rsidR="00926647" w:rsidRPr="00326BE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5D547F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5533AB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Досадашњи рад Савјета мјесних заједница одвијао се по принципу волонтеризма, без икакве накнаде, што утиче на мотивацију и сам рад Савјета мјесних заједница</w:t>
      </w:r>
      <w:r w:rsidR="00A13F4C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:rsidR="005E6821" w:rsidRDefault="005E6821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</w:p>
    <w:p w:rsidR="005E6821" w:rsidRDefault="005E6821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</w:p>
    <w:p w:rsidR="005E6821" w:rsidRDefault="005E6821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</w:pPr>
    </w:p>
    <w:p w:rsidR="00AC7345" w:rsidRPr="00AC7345" w:rsidRDefault="00AC7345" w:rsidP="0093070D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32"/>
          <w:szCs w:val="24"/>
        </w:rPr>
      </w:pPr>
      <w:proofErr w:type="spellStart"/>
      <w:proofErr w:type="gram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lastRenderedPageBreak/>
        <w:t>Градоначелник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Града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Бијељина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разматрао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је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Информацију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о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раду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Мјесних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заједница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и о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стању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и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коришћењу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објеката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мјесних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заједница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на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подручју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Града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Бијељина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,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те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је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прослеђује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Скупштини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Града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Бијељина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на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разматрање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 xml:space="preserve"> и </w:t>
      </w:r>
      <w:proofErr w:type="spellStart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усвајање</w:t>
      </w:r>
      <w:proofErr w:type="spellEnd"/>
      <w:r w:rsidRPr="00AC7345">
        <w:rPr>
          <w:rFonts w:ascii="Times New Roman" w:hAnsi="Times New Roman" w:cs="Times New Roman"/>
          <w:color w:val="000000"/>
          <w:sz w:val="24"/>
          <w:szCs w:val="20"/>
          <w:shd w:val="clear" w:color="auto" w:fill="FFFFFF"/>
        </w:rPr>
        <w:t>.</w:t>
      </w:r>
      <w:proofErr w:type="gramEnd"/>
    </w:p>
    <w:p w:rsidR="00011EB6" w:rsidRPr="00085124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11EB6" w:rsidRDefault="00011EB6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D72E2" w:rsidRDefault="00DD72E2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7AB" w:rsidRDefault="009B17AB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E6821" w:rsidRPr="005E6821" w:rsidRDefault="005E6821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B17AB" w:rsidRPr="009B17AB" w:rsidRDefault="009B17AB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BC1" w:rsidRPr="006A0BC1" w:rsidRDefault="006A0BC1" w:rsidP="00AC7B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A0BC1" w:rsidRDefault="006A0BC1" w:rsidP="006A0B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 xml:space="preserve">ГРАДОНАЧЕЛНИК ГРАДА БИЈЕЉИНА                             </w:t>
      </w:r>
      <w:r w:rsidR="00F5033D">
        <w:rPr>
          <w:rFonts w:ascii="Times New Roman" w:hAnsi="Times New Roman" w:cs="Times New Roman"/>
          <w:sz w:val="24"/>
          <w:szCs w:val="24"/>
        </w:rPr>
        <w:t>П О ГР</w:t>
      </w:r>
      <w:r>
        <w:rPr>
          <w:rFonts w:ascii="Times New Roman" w:hAnsi="Times New Roman" w:cs="Times New Roman"/>
          <w:sz w:val="24"/>
          <w:szCs w:val="24"/>
        </w:rPr>
        <w:t>АДОНАЧЕЛНИКА</w:t>
      </w:r>
      <w:r w:rsidR="00E45FD0" w:rsidRPr="00326BE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6A0BC1" w:rsidRDefault="006A0BC1" w:rsidP="006A0B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:rsidR="006A0BC1" w:rsidRDefault="006A0BC1" w:rsidP="006A0BC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_________________________                                        _______________________</w:t>
      </w:r>
    </w:p>
    <w:p w:rsidR="00004D27" w:rsidRPr="006A0BC1" w:rsidRDefault="006A0BC1" w:rsidP="006A0B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Љубиша Петровић                                                            </w:t>
      </w:r>
      <w:r w:rsidR="00F5033D">
        <w:rPr>
          <w:rFonts w:ascii="Times New Roman" w:hAnsi="Times New Roman" w:cs="Times New Roman"/>
          <w:sz w:val="24"/>
          <w:szCs w:val="24"/>
          <w:lang w:val="sr-Cyrl-BA"/>
        </w:rPr>
        <w:t>Далибор Лазић</w:t>
      </w: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326BE5" w:rsidRDefault="005553E4" w:rsidP="00E45FD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5553E4" w:rsidRPr="00073215" w:rsidRDefault="005553E4" w:rsidP="005553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5553E4" w:rsidRPr="00073215" w:rsidSect="006B36CA">
      <w:pgSz w:w="12240" w:h="15840"/>
      <w:pgMar w:top="144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D696B"/>
    <w:multiLevelType w:val="hybridMultilevel"/>
    <w:tmpl w:val="B0B0DF9C"/>
    <w:lvl w:ilvl="0" w:tplc="25103880">
      <w:start w:val="80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18F65AF3"/>
    <w:multiLevelType w:val="hybridMultilevel"/>
    <w:tmpl w:val="0BF2B0D0"/>
    <w:lvl w:ilvl="0" w:tplc="DC703CF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F95704"/>
    <w:multiLevelType w:val="hybridMultilevel"/>
    <w:tmpl w:val="8856C642"/>
    <w:lvl w:ilvl="0" w:tplc="C33EAFC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D105DE8"/>
    <w:multiLevelType w:val="multilevel"/>
    <w:tmpl w:val="A2E0FD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7B06754C"/>
    <w:multiLevelType w:val="hybridMultilevel"/>
    <w:tmpl w:val="554482F6"/>
    <w:lvl w:ilvl="0" w:tplc="FFC0198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073215"/>
    <w:rsid w:val="00000DD2"/>
    <w:rsid w:val="00004D27"/>
    <w:rsid w:val="00011EB6"/>
    <w:rsid w:val="000179C4"/>
    <w:rsid w:val="00022E17"/>
    <w:rsid w:val="0004498D"/>
    <w:rsid w:val="00065BC1"/>
    <w:rsid w:val="00073215"/>
    <w:rsid w:val="0007342E"/>
    <w:rsid w:val="00075CE0"/>
    <w:rsid w:val="00085124"/>
    <w:rsid w:val="00094B80"/>
    <w:rsid w:val="00097091"/>
    <w:rsid w:val="000D30B4"/>
    <w:rsid w:val="000E6E89"/>
    <w:rsid w:val="000F191C"/>
    <w:rsid w:val="00115095"/>
    <w:rsid w:val="001237D9"/>
    <w:rsid w:val="001268FE"/>
    <w:rsid w:val="00137665"/>
    <w:rsid w:val="00143186"/>
    <w:rsid w:val="001774CB"/>
    <w:rsid w:val="001B6E0D"/>
    <w:rsid w:val="001C7B02"/>
    <w:rsid w:val="001D314A"/>
    <w:rsid w:val="001E6C83"/>
    <w:rsid w:val="002025C2"/>
    <w:rsid w:val="00215338"/>
    <w:rsid w:val="0021756D"/>
    <w:rsid w:val="00217ADE"/>
    <w:rsid w:val="00222800"/>
    <w:rsid w:val="0024008E"/>
    <w:rsid w:val="00240506"/>
    <w:rsid w:val="00251E0A"/>
    <w:rsid w:val="00270892"/>
    <w:rsid w:val="00271417"/>
    <w:rsid w:val="00275051"/>
    <w:rsid w:val="002918F5"/>
    <w:rsid w:val="002D2A3B"/>
    <w:rsid w:val="002D5492"/>
    <w:rsid w:val="002D5ABE"/>
    <w:rsid w:val="002D6D27"/>
    <w:rsid w:val="002F006A"/>
    <w:rsid w:val="002F1B81"/>
    <w:rsid w:val="002F24DB"/>
    <w:rsid w:val="00326BE5"/>
    <w:rsid w:val="00336D9B"/>
    <w:rsid w:val="003745DD"/>
    <w:rsid w:val="0038149F"/>
    <w:rsid w:val="00383DEE"/>
    <w:rsid w:val="0038416C"/>
    <w:rsid w:val="003A7E51"/>
    <w:rsid w:val="003B002A"/>
    <w:rsid w:val="003B132C"/>
    <w:rsid w:val="003B6024"/>
    <w:rsid w:val="003C4AA1"/>
    <w:rsid w:val="003D603C"/>
    <w:rsid w:val="003E3C12"/>
    <w:rsid w:val="003F43B3"/>
    <w:rsid w:val="0040643F"/>
    <w:rsid w:val="00406E41"/>
    <w:rsid w:val="0042619F"/>
    <w:rsid w:val="00436361"/>
    <w:rsid w:val="00441DB5"/>
    <w:rsid w:val="00443387"/>
    <w:rsid w:val="0045630D"/>
    <w:rsid w:val="00464A10"/>
    <w:rsid w:val="004A3B55"/>
    <w:rsid w:val="004A5118"/>
    <w:rsid w:val="004A7A21"/>
    <w:rsid w:val="004B32FE"/>
    <w:rsid w:val="004B3A88"/>
    <w:rsid w:val="004B3D75"/>
    <w:rsid w:val="004C04A9"/>
    <w:rsid w:val="004C4F07"/>
    <w:rsid w:val="004D32F7"/>
    <w:rsid w:val="004E6E40"/>
    <w:rsid w:val="004F55E6"/>
    <w:rsid w:val="00514CF0"/>
    <w:rsid w:val="005279D5"/>
    <w:rsid w:val="00537260"/>
    <w:rsid w:val="0054775B"/>
    <w:rsid w:val="0055102E"/>
    <w:rsid w:val="005533AB"/>
    <w:rsid w:val="005553E4"/>
    <w:rsid w:val="005579BE"/>
    <w:rsid w:val="00572594"/>
    <w:rsid w:val="00575EEA"/>
    <w:rsid w:val="005A2EDE"/>
    <w:rsid w:val="005A5EF7"/>
    <w:rsid w:val="005B34CA"/>
    <w:rsid w:val="005B6AF3"/>
    <w:rsid w:val="005C37D1"/>
    <w:rsid w:val="005D547F"/>
    <w:rsid w:val="005E0897"/>
    <w:rsid w:val="005E6821"/>
    <w:rsid w:val="005F3EF8"/>
    <w:rsid w:val="00607822"/>
    <w:rsid w:val="00610F84"/>
    <w:rsid w:val="00614AF8"/>
    <w:rsid w:val="006321AF"/>
    <w:rsid w:val="0064563E"/>
    <w:rsid w:val="00650FAA"/>
    <w:rsid w:val="006815DE"/>
    <w:rsid w:val="00682276"/>
    <w:rsid w:val="00682754"/>
    <w:rsid w:val="00690E18"/>
    <w:rsid w:val="006934E7"/>
    <w:rsid w:val="00693B1B"/>
    <w:rsid w:val="006A0BC1"/>
    <w:rsid w:val="006A18F2"/>
    <w:rsid w:val="006A45B6"/>
    <w:rsid w:val="006A4A15"/>
    <w:rsid w:val="006B36CA"/>
    <w:rsid w:val="006C1519"/>
    <w:rsid w:val="006C1546"/>
    <w:rsid w:val="006C6E5B"/>
    <w:rsid w:val="006D5E65"/>
    <w:rsid w:val="006E39E4"/>
    <w:rsid w:val="006F5C70"/>
    <w:rsid w:val="006F64D3"/>
    <w:rsid w:val="00703488"/>
    <w:rsid w:val="0070436F"/>
    <w:rsid w:val="007066F9"/>
    <w:rsid w:val="0072587E"/>
    <w:rsid w:val="00735AF0"/>
    <w:rsid w:val="00740DDA"/>
    <w:rsid w:val="00750809"/>
    <w:rsid w:val="0076459B"/>
    <w:rsid w:val="00780957"/>
    <w:rsid w:val="00792B3F"/>
    <w:rsid w:val="007C1C93"/>
    <w:rsid w:val="007D4396"/>
    <w:rsid w:val="007E5197"/>
    <w:rsid w:val="00820510"/>
    <w:rsid w:val="0083344E"/>
    <w:rsid w:val="0085013F"/>
    <w:rsid w:val="008604AC"/>
    <w:rsid w:val="008675C6"/>
    <w:rsid w:val="00875D8B"/>
    <w:rsid w:val="00875EDA"/>
    <w:rsid w:val="00883615"/>
    <w:rsid w:val="00890439"/>
    <w:rsid w:val="00892031"/>
    <w:rsid w:val="008A3A58"/>
    <w:rsid w:val="008B0DAF"/>
    <w:rsid w:val="008B4DDD"/>
    <w:rsid w:val="008C405B"/>
    <w:rsid w:val="008D1093"/>
    <w:rsid w:val="008D3105"/>
    <w:rsid w:val="008D41B2"/>
    <w:rsid w:val="00906561"/>
    <w:rsid w:val="00926647"/>
    <w:rsid w:val="0093070D"/>
    <w:rsid w:val="00932C85"/>
    <w:rsid w:val="00956282"/>
    <w:rsid w:val="00957FB8"/>
    <w:rsid w:val="0097126A"/>
    <w:rsid w:val="00971E14"/>
    <w:rsid w:val="00986713"/>
    <w:rsid w:val="009915BF"/>
    <w:rsid w:val="00991704"/>
    <w:rsid w:val="00993DFD"/>
    <w:rsid w:val="00994999"/>
    <w:rsid w:val="009A1718"/>
    <w:rsid w:val="009A2DE5"/>
    <w:rsid w:val="009A2DE6"/>
    <w:rsid w:val="009A309A"/>
    <w:rsid w:val="009A358A"/>
    <w:rsid w:val="009A4E43"/>
    <w:rsid w:val="009B17AB"/>
    <w:rsid w:val="009B7DA2"/>
    <w:rsid w:val="009C52A1"/>
    <w:rsid w:val="009C607D"/>
    <w:rsid w:val="009E0C77"/>
    <w:rsid w:val="00A13F4C"/>
    <w:rsid w:val="00A208D7"/>
    <w:rsid w:val="00A27A5A"/>
    <w:rsid w:val="00A32596"/>
    <w:rsid w:val="00A357AD"/>
    <w:rsid w:val="00A35877"/>
    <w:rsid w:val="00A54907"/>
    <w:rsid w:val="00A654B0"/>
    <w:rsid w:val="00A71ED6"/>
    <w:rsid w:val="00A7298B"/>
    <w:rsid w:val="00A81EA1"/>
    <w:rsid w:val="00A82596"/>
    <w:rsid w:val="00A90CB5"/>
    <w:rsid w:val="00A944C1"/>
    <w:rsid w:val="00AA41EA"/>
    <w:rsid w:val="00AC724E"/>
    <w:rsid w:val="00AC7345"/>
    <w:rsid w:val="00AC7B89"/>
    <w:rsid w:val="00AD794D"/>
    <w:rsid w:val="00AE4A9E"/>
    <w:rsid w:val="00B01C74"/>
    <w:rsid w:val="00B04447"/>
    <w:rsid w:val="00B05651"/>
    <w:rsid w:val="00B210DC"/>
    <w:rsid w:val="00B22D2B"/>
    <w:rsid w:val="00B31FFF"/>
    <w:rsid w:val="00B47962"/>
    <w:rsid w:val="00B53DE2"/>
    <w:rsid w:val="00B70B4C"/>
    <w:rsid w:val="00B82B0A"/>
    <w:rsid w:val="00B85531"/>
    <w:rsid w:val="00BA3BD3"/>
    <w:rsid w:val="00BA585B"/>
    <w:rsid w:val="00BC7291"/>
    <w:rsid w:val="00BC76C8"/>
    <w:rsid w:val="00BF0BCC"/>
    <w:rsid w:val="00C0193B"/>
    <w:rsid w:val="00C045C5"/>
    <w:rsid w:val="00C14526"/>
    <w:rsid w:val="00C17B2C"/>
    <w:rsid w:val="00C408D8"/>
    <w:rsid w:val="00C41B7C"/>
    <w:rsid w:val="00C42431"/>
    <w:rsid w:val="00C60A2D"/>
    <w:rsid w:val="00C839BC"/>
    <w:rsid w:val="00CA3D64"/>
    <w:rsid w:val="00CB22BB"/>
    <w:rsid w:val="00CB38C3"/>
    <w:rsid w:val="00CB3D89"/>
    <w:rsid w:val="00CB3D8E"/>
    <w:rsid w:val="00CC3DBF"/>
    <w:rsid w:val="00CD3D10"/>
    <w:rsid w:val="00CE2717"/>
    <w:rsid w:val="00CE2905"/>
    <w:rsid w:val="00CE546B"/>
    <w:rsid w:val="00CF090A"/>
    <w:rsid w:val="00D06A59"/>
    <w:rsid w:val="00D137C7"/>
    <w:rsid w:val="00D36BCA"/>
    <w:rsid w:val="00D52B82"/>
    <w:rsid w:val="00D54A5F"/>
    <w:rsid w:val="00D54F69"/>
    <w:rsid w:val="00D66397"/>
    <w:rsid w:val="00D75916"/>
    <w:rsid w:val="00D81D51"/>
    <w:rsid w:val="00DB0476"/>
    <w:rsid w:val="00DC0C6F"/>
    <w:rsid w:val="00DD72E2"/>
    <w:rsid w:val="00DE2F84"/>
    <w:rsid w:val="00DF1DA0"/>
    <w:rsid w:val="00DF238B"/>
    <w:rsid w:val="00E00EBC"/>
    <w:rsid w:val="00E01CFE"/>
    <w:rsid w:val="00E030C6"/>
    <w:rsid w:val="00E1300E"/>
    <w:rsid w:val="00E15C4F"/>
    <w:rsid w:val="00E45FD0"/>
    <w:rsid w:val="00E60AAB"/>
    <w:rsid w:val="00E62F24"/>
    <w:rsid w:val="00E72096"/>
    <w:rsid w:val="00E735D8"/>
    <w:rsid w:val="00E77E9F"/>
    <w:rsid w:val="00E92793"/>
    <w:rsid w:val="00EA1F63"/>
    <w:rsid w:val="00EA45A8"/>
    <w:rsid w:val="00EA77E6"/>
    <w:rsid w:val="00EB282C"/>
    <w:rsid w:val="00EC7E8D"/>
    <w:rsid w:val="00ED7AFE"/>
    <w:rsid w:val="00EE2F0E"/>
    <w:rsid w:val="00EE6FC0"/>
    <w:rsid w:val="00EF3BEA"/>
    <w:rsid w:val="00EF5B14"/>
    <w:rsid w:val="00F069AC"/>
    <w:rsid w:val="00F07279"/>
    <w:rsid w:val="00F1070C"/>
    <w:rsid w:val="00F159B1"/>
    <w:rsid w:val="00F27E30"/>
    <w:rsid w:val="00F3769D"/>
    <w:rsid w:val="00F37A55"/>
    <w:rsid w:val="00F4488F"/>
    <w:rsid w:val="00F470A8"/>
    <w:rsid w:val="00F5033D"/>
    <w:rsid w:val="00F82A6F"/>
    <w:rsid w:val="00FB4405"/>
    <w:rsid w:val="00FD2B8C"/>
    <w:rsid w:val="00FE656B"/>
    <w:rsid w:val="00FF02BD"/>
    <w:rsid w:val="00FF0E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3D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41DB5"/>
    <w:pPr>
      <w:ind w:left="720"/>
      <w:contextualSpacing/>
    </w:pPr>
  </w:style>
  <w:style w:type="table" w:styleId="TableGrid">
    <w:name w:val="Table Grid"/>
    <w:basedOn w:val="TableNormal"/>
    <w:uiPriority w:val="59"/>
    <w:rsid w:val="006B36CA"/>
    <w:pPr>
      <w:spacing w:after="0" w:line="240" w:lineRule="auto"/>
    </w:pPr>
    <w:rPr>
      <w:lang w:val="hr-HR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A4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45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9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D2D806-4F62-4D06-8EA3-73CECD6C1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3089</Words>
  <Characters>17610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pnovakovic</dc:creator>
  <cp:lastModifiedBy>dlazic</cp:lastModifiedBy>
  <cp:revision>2</cp:revision>
  <cp:lastPrinted>2022-04-27T10:31:00Z</cp:lastPrinted>
  <dcterms:created xsi:type="dcterms:W3CDTF">2022-04-28T10:02:00Z</dcterms:created>
  <dcterms:modified xsi:type="dcterms:W3CDTF">2022-04-28T10:02:00Z</dcterms:modified>
</cp:coreProperties>
</file>