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BB" w:rsidRPr="00C442A2" w:rsidRDefault="004C1FBB" w:rsidP="004C1FBB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97/16, 36/19 и 61/21)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9/17), а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121/12, 52/14, 103/15 и 15/16)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л)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: 28/13),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-----.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FBB" w:rsidRPr="00B31AA0" w:rsidRDefault="004C1FBB" w:rsidP="004C1FBB">
      <w:pPr>
        <w:rPr>
          <w:rFonts w:ascii="Times New Roman" w:hAnsi="Times New Roman" w:cs="Times New Roman"/>
          <w:sz w:val="24"/>
          <w:szCs w:val="24"/>
        </w:rPr>
      </w:pPr>
    </w:p>
    <w:p w:rsidR="004C1FBB" w:rsidRDefault="004C1FBB" w:rsidP="004C1F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 Д Л У К У </w:t>
      </w:r>
    </w:p>
    <w:p w:rsidR="004C1FBB" w:rsidRPr="00B31AA0" w:rsidRDefault="004C1FBB" w:rsidP="004C1F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 УКЉУЧИВАЊУ У ТРЕЗОРСКИ СИСТЕМ ПОСЛОВАЊА ОДСЈЕКА ЗА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ИНФОРМАЦИОНЕ ТЕХНОЛОГИЈЕ </w:t>
      </w:r>
      <w:r w:rsidRPr="00B31AA0">
        <w:rPr>
          <w:rFonts w:ascii="Times New Roman" w:hAnsi="Times New Roman" w:cs="Times New Roman"/>
          <w:sz w:val="24"/>
          <w:szCs w:val="24"/>
        </w:rPr>
        <w:t xml:space="preserve">ГРАДСКЕ УПРАВЕ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</w:t>
      </w:r>
    </w:p>
    <w:p w:rsidR="004C1FBB" w:rsidRDefault="004C1FBB" w:rsidP="004C1F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</w:t>
      </w: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Одсјек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информационе технологије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01.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јануар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статус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намјенског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одобрених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извјештаја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регистра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буџетског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.</w:t>
      </w:r>
    </w:p>
    <w:p w:rsidR="004C1FBB" w:rsidRPr="00B31AA0" w:rsidRDefault="004C1FBB" w:rsidP="004C1F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II</w:t>
      </w: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финансије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Града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надлежним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министарствима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обави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обезбјеђује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трезорски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B31AA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укључују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прилагођавање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интерних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трезорско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примјену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трезорском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пословању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неопходне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радње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1FBB" w:rsidRPr="00B31AA0" w:rsidRDefault="004C1FBB" w:rsidP="004C1F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III</w:t>
      </w: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B31AA0">
        <w:rPr>
          <w:rFonts w:ascii="Times New Roman" w:hAnsi="Times New Roman" w:cs="Times New Roman"/>
          <w:sz w:val="24"/>
          <w:szCs w:val="24"/>
        </w:rPr>
        <w:t>.</w:t>
      </w: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1AA0">
        <w:rPr>
          <w:rFonts w:ascii="Times New Roman" w:hAnsi="Times New Roman" w:cs="Times New Roman"/>
          <w:sz w:val="24"/>
          <w:szCs w:val="24"/>
        </w:rPr>
        <w:t xml:space="preserve">ПРЕДСЈЕДНИК </w:t>
      </w: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B31AA0">
        <w:rPr>
          <w:rFonts w:ascii="Times New Roman" w:hAnsi="Times New Roman" w:cs="Times New Roman"/>
          <w:sz w:val="24"/>
          <w:szCs w:val="24"/>
          <w:lang w:val="sr-Cyrl-BA"/>
        </w:rPr>
        <w:t>------------</w:t>
      </w:r>
      <w:r w:rsidRPr="00B31AA0">
        <w:rPr>
          <w:rFonts w:ascii="Times New Roman" w:hAnsi="Times New Roman" w:cs="Times New Roman"/>
          <w:sz w:val="24"/>
          <w:szCs w:val="24"/>
        </w:rPr>
        <w:t xml:space="preserve"> 20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B31A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B31A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31A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СКУПШТИНЕ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</w:t>
      </w:r>
      <w:r w:rsidRPr="00B31AA0">
        <w:rPr>
          <w:rFonts w:ascii="Times New Roman" w:hAnsi="Times New Roman" w:cs="Times New Roman"/>
          <w:sz w:val="24"/>
          <w:szCs w:val="24"/>
        </w:rPr>
        <w:t xml:space="preserve">ИЈЕЉИНА </w:t>
      </w: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Александар Ђурђевић</w:t>
      </w:r>
    </w:p>
    <w:p w:rsidR="004C1FBB" w:rsidRPr="00B31AA0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>УЗ ПРИЈЕДЛОГ ОДЛУКЕ</w:t>
      </w: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 УКЉУЧИВАЊУ У ТРЕЗОРСКИ СИСТЕМ ПОСЛОВАЊА </w:t>
      </w: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ОДСЈЕКА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ИНФОРМАЦИОНЕ ТЕХНОЛОГИЈЕ</w:t>
      </w:r>
      <w:r w:rsidRPr="00B31AA0">
        <w:rPr>
          <w:rFonts w:ascii="Times New Roman" w:hAnsi="Times New Roman" w:cs="Times New Roman"/>
          <w:sz w:val="24"/>
          <w:szCs w:val="24"/>
        </w:rPr>
        <w:t xml:space="preserve"> ГРАДСКЕ УПРАВЕ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</w:t>
      </w: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12DA" w:rsidRDefault="00F112DA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ПРАВНИ ОСНОВ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Основ за доношење Одлуке о укључивању у трезорски систем пословања Одсјека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информационе технологије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Градске управе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садржан је: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2. став 1. тачка в) Закона о буџетском систему Републике Српске </w:t>
      </w:r>
      <w:r w:rsidRPr="00C442A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: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121</w:t>
      </w:r>
      <w:r w:rsidRPr="00C442A2">
        <w:rPr>
          <w:rFonts w:ascii="Times New Roman" w:hAnsi="Times New Roman" w:cs="Times New Roman"/>
          <w:sz w:val="24"/>
          <w:szCs w:val="24"/>
        </w:rPr>
        <w:t>/1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2, 52/14, 103/15 и 15/16</w:t>
      </w:r>
      <w:r w:rsidRPr="00C442A2">
        <w:rPr>
          <w:rFonts w:ascii="Times New Roman" w:hAnsi="Times New Roman" w:cs="Times New Roman"/>
          <w:sz w:val="24"/>
          <w:szCs w:val="24"/>
        </w:rPr>
        <w:t>)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 и  члану 2. став 1. тачка л) Закона о трезору </w:t>
      </w:r>
      <w:r w:rsidRPr="00C442A2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C442A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442A2">
        <w:rPr>
          <w:rFonts w:ascii="Times New Roman" w:hAnsi="Times New Roman" w:cs="Times New Roman"/>
          <w:sz w:val="24"/>
          <w:szCs w:val="24"/>
        </w:rPr>
        <w:t xml:space="preserve">: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28/13</w:t>
      </w:r>
      <w:r w:rsidRPr="00C442A2">
        <w:rPr>
          <w:rFonts w:ascii="Times New Roman" w:hAnsi="Times New Roman" w:cs="Times New Roman"/>
          <w:sz w:val="24"/>
          <w:szCs w:val="24"/>
        </w:rPr>
        <w:t xml:space="preserve">) 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>којим је 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12DA" w:rsidRDefault="00F112DA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Latn-CS"/>
        </w:rPr>
        <w:t>II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ОДЛУКЕ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12DA" w:rsidRDefault="00F112DA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информационе технологије</w:t>
      </w:r>
      <w:r w:rsidRPr="00C442A2">
        <w:rPr>
          <w:rFonts w:ascii="Times New Roman" w:hAnsi="Times New Roman" w:cs="Times New Roman"/>
          <w:sz w:val="24"/>
          <w:szCs w:val="24"/>
          <w:lang w:val="sr-Cyrl-CS"/>
        </w:rPr>
        <w:t xml:space="preserve"> је организован као самосталан одсјек  у оквиру Градске управе Града Бијељина.</w:t>
      </w:r>
    </w:p>
    <w:p w:rsidR="004C1FBB" w:rsidRPr="00C442A2" w:rsidRDefault="004C1FBB" w:rsidP="004C1FBB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Default="004C1FBB" w:rsidP="004C1FBB">
      <w:pPr>
        <w:contextualSpacing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У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Одсјеку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BA"/>
        </w:rPr>
        <w:t>информационе технологије</w:t>
      </w:r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обављају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се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стручни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и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административни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послови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везани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</w:t>
      </w:r>
      <w:proofErr w:type="spellEnd"/>
      <w:r w:rsidRPr="00061054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:</w:t>
      </w:r>
    </w:p>
    <w:p w:rsidR="004C1FBB" w:rsidRDefault="004C1FBB" w:rsidP="004C1FBB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C1FBB" w:rsidRDefault="00B471E3" w:rsidP="004C1FBB">
      <w:pPr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-</w:t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континуирани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надзор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стања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рачунарске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телекомуникационе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инфраструктуре</w:t>
      </w:r>
      <w:proofErr w:type="spellEnd"/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t>-</w:t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континуирани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надзор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коришћења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израда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процедура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праћење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развоја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програмских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рјешења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праћење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креирање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приједлога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набавку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софтверских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рјешења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hd w:val="clear" w:color="auto" w:fill="FFFFFF"/>
        </w:rPr>
        <w:t>-</w:t>
      </w:r>
      <w:r w:rsidRPr="00B471E3">
        <w:rPr>
          <w:rFonts w:ascii="Times New Roman" w:hAnsi="Times New Roman" w:cs="Times New Roman"/>
          <w:color w:val="000000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надзор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унапређење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аутоматизованих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процедура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књижење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рачуноводствено-финансијских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трансакција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евиденције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становиштва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примјене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међународних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рачуноводствених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стандарда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становиштва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примјене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безбједности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података</w:t>
      </w:r>
      <w:proofErr w:type="spellEnd"/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t>-</w:t>
      </w:r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усклађивање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активности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екстерним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информатичким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кућама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ангажованим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одржавању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подсистема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апликативног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софтвера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инфраструктуре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мејл-сервера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рачунарске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опреме</w:t>
      </w:r>
      <w:proofErr w:type="spellEnd"/>
      <w:r w:rsidRPr="00B471E3">
        <w:rPr>
          <w:rFonts w:ascii="Arial" w:hAnsi="Arial" w:cs="Arial"/>
          <w:color w:val="000000"/>
          <w:sz w:val="24"/>
          <w:szCs w:val="24"/>
          <w:shd w:val="clear" w:color="auto" w:fill="FFFFFF"/>
          <w:lang w:val="sr-Cyrl-BA"/>
        </w:rPr>
        <w:t xml:space="preserve">, </w:t>
      </w:r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као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надлежним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службама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министарствима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везано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коришћење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централизованих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нивоу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Републике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Српске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трезора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матична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служба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регистар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предузетника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евиденција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корисника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борачко-инвалидске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заштите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Pr="00B471E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hd w:val="clear" w:color="auto" w:fill="FFFFFF"/>
        </w:rPr>
        <w:t>-</w:t>
      </w:r>
      <w:r>
        <w:rPr>
          <w:rFonts w:ascii="Arial" w:hAnsi="Arial" w:cs="Arial"/>
          <w:color w:val="000000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предлагање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спровођење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мјера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процедура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безбједност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тајност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података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складу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прописима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back-up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података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data recovery</w:t>
      </w:r>
      <w:r>
        <w:rPr>
          <w:rFonts w:ascii="Arial" w:hAnsi="Arial" w:cs="Arial"/>
          <w:color w:val="000000"/>
          <w:shd w:val="clear" w:color="auto" w:fill="FFFFFF"/>
          <w:lang w:val="sr-Cyrl-BA"/>
        </w:rPr>
        <w:t>,</w:t>
      </w:r>
      <w:r w:rsidRPr="00B471E3"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color w:val="000000"/>
          <w:shd w:val="clear" w:color="auto" w:fill="FFFFFF"/>
        </w:rPr>
        <w:t>-</w:t>
      </w:r>
      <w:r>
        <w:rPr>
          <w:rFonts w:ascii="Arial" w:hAnsi="Arial" w:cs="Arial"/>
          <w:color w:val="000000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дефинисање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посебног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дијела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тендерске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документације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јавне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набавке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апликативног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софтвера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инфраструктуре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рачунарске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опреме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као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понуђених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уговора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јавној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набавци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апликативног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софтвера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одржавања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ИТ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опреме</w:t>
      </w:r>
      <w:proofErr w:type="spellEnd"/>
      <w:r>
        <w:rPr>
          <w:rFonts w:ascii="Arial" w:hAnsi="Arial" w:cs="Arial"/>
          <w:color w:val="000000"/>
          <w:shd w:val="clear" w:color="auto" w:fill="FFFFFF"/>
          <w:lang w:val="sr-Cyrl-BA"/>
        </w:rPr>
        <w:t>,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-</w:t>
      </w:r>
      <w:r>
        <w:rPr>
          <w:rFonts w:ascii="Arial" w:hAnsi="Arial" w:cs="Arial"/>
          <w:color w:val="000000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спровођење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организовање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обука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запослених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рачунарима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локалној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управљање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одржавањем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рачунарске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опреме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мрежне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инфраструктуре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лиценцама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системског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софтвера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давање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приједлога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набавку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опреме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B47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лиценци</w:t>
      </w:r>
      <w:proofErr w:type="spellEnd"/>
      <w:r w:rsidRPr="00B471E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C1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и други слични послови.</w:t>
      </w:r>
    </w:p>
    <w:p w:rsidR="004C1FBB" w:rsidRPr="00C442A2" w:rsidRDefault="004C1FBB" w:rsidP="004C1FBB">
      <w:pPr>
        <w:contextualSpacing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C1FBB" w:rsidRPr="0006105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t>Одсјек до сада није био регистрован као нижи буџетски корисник/потрошачка јединица трезора, већ се финансирао у оквиру буџетског корисника/потрошачке јединице трезора „</w:t>
      </w:r>
      <w:r w:rsidR="00B471E3">
        <w:rPr>
          <w:rFonts w:ascii="Times New Roman" w:hAnsi="Times New Roman" w:cs="Times New Roman"/>
          <w:sz w:val="24"/>
          <w:szCs w:val="24"/>
          <w:lang w:val="sr-Cyrl-CS"/>
        </w:rPr>
        <w:t>Одсјек за заједничке послове</w:t>
      </w:r>
      <w:r w:rsidRPr="00061054">
        <w:rPr>
          <w:rFonts w:ascii="Times New Roman" w:hAnsi="Times New Roman" w:cs="Times New Roman"/>
          <w:sz w:val="24"/>
          <w:szCs w:val="24"/>
          <w:lang w:val="sr-Cyrl-CS"/>
        </w:rPr>
        <w:t>“ број ПЈТ 00050</w:t>
      </w:r>
      <w:r w:rsidR="00B471E3">
        <w:rPr>
          <w:rFonts w:ascii="Times New Roman" w:hAnsi="Times New Roman" w:cs="Times New Roman"/>
          <w:sz w:val="24"/>
          <w:szCs w:val="24"/>
          <w:lang w:val="sr-Cyrl-CS"/>
        </w:rPr>
        <w:t>240</w:t>
      </w:r>
      <w:r w:rsidRPr="0006105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1FBB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да је Одсјек за </w:t>
      </w:r>
      <w:r w:rsidR="00B471E3">
        <w:rPr>
          <w:rFonts w:ascii="Times New Roman" w:hAnsi="Times New Roman" w:cs="Times New Roman"/>
          <w:sz w:val="24"/>
          <w:szCs w:val="24"/>
          <w:lang w:val="sr-Cyrl-CS"/>
        </w:rPr>
        <w:t>информационе технологије</w:t>
      </w:r>
      <w:r w:rsidRPr="00061054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организован као самосталан одсјек и да је самосталан у обављању послова за које су неопходна финансијска средства, потребно га је регистровати као буџетског корисника/потрошачку јединицу, односно  извршити његово укључивањ</w:t>
      </w:r>
      <w:r>
        <w:rPr>
          <w:rFonts w:ascii="Times New Roman" w:hAnsi="Times New Roman" w:cs="Times New Roman"/>
          <w:sz w:val="24"/>
          <w:szCs w:val="24"/>
          <w:lang w:val="sr-Cyrl-CS"/>
        </w:rPr>
        <w:t>е у трезорски систем пословања.</w:t>
      </w:r>
    </w:p>
    <w:p w:rsidR="004C1FBB" w:rsidRPr="0006105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1054">
        <w:rPr>
          <w:rFonts w:ascii="Times New Roman" w:hAnsi="Times New Roman" w:cs="Times New Roman"/>
          <w:sz w:val="24"/>
          <w:szCs w:val="24"/>
          <w:lang w:val="sr-Cyrl-CS"/>
        </w:rPr>
        <w:t>Овим укључивањем ће обезбједити ефикасно, ефективно и транспарентно трошење јавних средстава.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Latn-CS"/>
        </w:rPr>
        <w:t>III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ФИНАНСИЈСКА СРЕДСТВА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12DA" w:rsidRDefault="00F112DA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Финансијска средства за реализацију ове Одлуке обезбједиће се приликом израде Одлуке о буџету Града Бијељина за 2023. годину, и то на тај начин што ће се  умјесто планиранирања средстава у оквиру ПЈТ </w:t>
      </w:r>
      <w:r w:rsidR="00F112DA">
        <w:rPr>
          <w:rFonts w:ascii="Times New Roman" w:hAnsi="Times New Roman" w:cs="Times New Roman"/>
          <w:sz w:val="24"/>
          <w:szCs w:val="24"/>
          <w:lang w:val="sr-Cyrl-CS"/>
        </w:rPr>
        <w:t>Одсјек за заједничке послове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 xml:space="preserve"> (као што је до сада рађено), финансијска средства планирати на самосталној потрошачкој јединици трезора „Одсјек за </w:t>
      </w:r>
      <w:r w:rsidR="00F112DA">
        <w:rPr>
          <w:rFonts w:ascii="Times New Roman" w:hAnsi="Times New Roman" w:cs="Times New Roman"/>
          <w:sz w:val="24"/>
          <w:szCs w:val="24"/>
          <w:lang w:val="sr-Cyrl-BA"/>
        </w:rPr>
        <w:t>информационе технологије</w:t>
      </w:r>
      <w:r w:rsidRPr="00447B1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>, са самосталним кодом који ће накнадно одредити Министарство финансија РС.</w:t>
      </w: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F112DA" w:rsidRDefault="00F112DA" w:rsidP="00F112DA">
      <w:pPr>
        <w:ind w:left="4320" w:firstLine="72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4C1FBB" w:rsidRPr="00447B14" w:rsidRDefault="004C1FBB" w:rsidP="00F112DA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П.О. ГРАДОНАЧЕЛНИКА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Гордана Петровић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>Градоначелник Града Бијељина утврдио је ПРИЈЕДЛОГ ОДЛУКЕ</w:t>
      </w:r>
      <w:r w:rsidRPr="00447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>О УКЉУЧИВАЊУ У ТРЕЗОРСКИ СИСТЕМ ПОСЛОВАЊА</w:t>
      </w:r>
      <w:r w:rsidRPr="00447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ОДСЈЕКА ЗА </w:t>
      </w:r>
      <w:r w:rsidR="00F112DA">
        <w:rPr>
          <w:rFonts w:ascii="Times New Roman" w:hAnsi="Times New Roman" w:cs="Times New Roman"/>
          <w:b/>
          <w:sz w:val="24"/>
          <w:szCs w:val="24"/>
          <w:lang w:val="sr-Cyrl-CS"/>
        </w:rPr>
        <w:t>ИНФОРМАЦИОНЕ ТЕХНОЛОГИЈЕ ГРАДСКЕ УПРАВЕ ГРАДА БИЈЕЉИНА</w:t>
      </w:r>
      <w:bookmarkStart w:id="0" w:name="_GoBack"/>
      <w:bookmarkEnd w:id="0"/>
      <w:r w:rsidRPr="00447B14">
        <w:rPr>
          <w:rFonts w:ascii="Times New Roman" w:hAnsi="Times New Roman" w:cs="Times New Roman"/>
          <w:sz w:val="24"/>
          <w:szCs w:val="24"/>
        </w:rPr>
        <w:t>,</w:t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те га просљеђује Скупштини Града на претрес и усвајање.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ГРАДОНАЧЕЛНИК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ГРАДА БИЈЕЉИНА</w:t>
      </w:r>
    </w:p>
    <w:p w:rsidR="004C1FBB" w:rsidRPr="00447B14" w:rsidRDefault="004C1FBB" w:rsidP="004C1FB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1FBB" w:rsidRPr="00447B14" w:rsidRDefault="004C1FBB" w:rsidP="004C1FBB">
      <w:pPr>
        <w:contextualSpacing/>
        <w:jc w:val="both"/>
        <w:rPr>
          <w:sz w:val="24"/>
          <w:szCs w:val="24"/>
          <w:lang w:val="bs-Latn-BA"/>
        </w:rPr>
      </w:pP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447B14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 Љубиша Петровић</w:t>
      </w:r>
    </w:p>
    <w:p w:rsidR="004C1FBB" w:rsidRPr="00447B14" w:rsidRDefault="004C1FBB" w:rsidP="004C1FBB">
      <w:pPr>
        <w:contextualSpacing/>
        <w:rPr>
          <w:sz w:val="24"/>
          <w:szCs w:val="24"/>
        </w:rPr>
      </w:pPr>
    </w:p>
    <w:p w:rsidR="004C1FBB" w:rsidRPr="00C442A2" w:rsidRDefault="004C1FBB" w:rsidP="004C1FBB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3AE4" w:rsidRDefault="00F112DA"/>
    <w:sectPr w:rsidR="005E3A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B0"/>
    <w:rsid w:val="002934A6"/>
    <w:rsid w:val="004C1FBB"/>
    <w:rsid w:val="007760B0"/>
    <w:rsid w:val="008C5820"/>
    <w:rsid w:val="00B471E3"/>
    <w:rsid w:val="00F112DA"/>
    <w:rsid w:val="00F9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2189"/>
  <w15:chartTrackingRefBased/>
  <w15:docId w15:val="{E51DAB0A-7C21-4EE7-8BD2-693DE6A9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1FBB"/>
    <w:rPr>
      <w:b/>
      <w:bCs/>
    </w:rPr>
  </w:style>
  <w:style w:type="paragraph" w:styleId="ListParagraph">
    <w:name w:val="List Paragraph"/>
    <w:basedOn w:val="Normal"/>
    <w:uiPriority w:val="34"/>
    <w:qFormat/>
    <w:rsid w:val="00B47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2022-11-05T17:50:00Z</dcterms:created>
  <dcterms:modified xsi:type="dcterms:W3CDTF">2022-11-05T18:12:00Z</dcterms:modified>
</cp:coreProperties>
</file>