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1E" w:rsidRPr="00681FD2" w:rsidRDefault="0051461E" w:rsidP="00CF71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 xml:space="preserve">I N F O R M A C I J A </w:t>
      </w: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ab/>
        <w:t xml:space="preserve">                                                   </w:t>
      </w:r>
    </w:p>
    <w:p w:rsidR="0051461E" w:rsidRPr="00681FD2" w:rsidRDefault="0051461E" w:rsidP="00CF71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 xml:space="preserve">O STANjU MALOLjETNIČKE DELINKVENCIJE  NA PODRUČJU GRADA </w:t>
      </w:r>
    </w:p>
    <w:p w:rsidR="0051461E" w:rsidRPr="00681FD2" w:rsidRDefault="0051461E" w:rsidP="00CF71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>BIJELjINA</w:t>
      </w:r>
    </w:p>
    <w:p w:rsidR="0051461E" w:rsidRPr="00681FD2" w:rsidRDefault="0051461E" w:rsidP="00CF71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sectPr w:rsidR="0051461E" w:rsidRPr="00681FD2" w:rsidSect="00356B4E">
          <w:footerReference w:type="default" r:id="rId8"/>
          <w:pgSz w:w="11906" w:h="16838"/>
          <w:pgMar w:top="720" w:right="720" w:bottom="720" w:left="720" w:header="709" w:footer="709" w:gutter="0"/>
          <w:cols w:space="720"/>
        </w:sect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lastRenderedPageBreak/>
        <w:t xml:space="preserve">                                                                                                    </w:t>
      </w:r>
    </w:p>
    <w:p w:rsidR="0051461E" w:rsidRPr="00681FD2" w:rsidRDefault="0051461E" w:rsidP="00CF7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r-Latn-CS"/>
        </w:rPr>
        <w:sectPr w:rsidR="0051461E" w:rsidRPr="00681FD2" w:rsidSect="00356B4E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lastRenderedPageBreak/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 xml:space="preserve">  </w:t>
      </w:r>
    </w:p>
    <w:p w:rsidR="0051461E" w:rsidRPr="00681FD2" w:rsidRDefault="0051461E" w:rsidP="00CF7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r-Latn-CS"/>
        </w:rPr>
        <w:sectPr w:rsidR="0051461E" w:rsidRPr="00681FD2" w:rsidSect="00356B4E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6F5DE1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lastRenderedPageBreak/>
        <w:t>Programom rada Skupštine grada Bijeljina za 2024. godinu predviđeno je razmatranje   Informacije o stanju maloljetničke   delinkvencij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na području grada Bijeljina u prethodnoj, 2023. godini.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 xml:space="preserve">   </w:t>
      </w:r>
    </w:p>
    <w:p w:rsidR="006F5DE1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Informacija je sačinjena na osnovu podataka               kojima raspolažu Policijska uprava Bijeljina, Osnovni sud Bijeljina, Okružno javno tužilaštvo u Bijeljini i Centar za socijalni rad Bijeljina.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Cilj Informacije je da se sagledaju stanje  i problemi u ovoj oblasti kako bi se mogle               preduzimati odgovarajuće preventivne mjere                           na suzbijanju maloljetničkog prestupništva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.</w:t>
      </w:r>
    </w:p>
    <w:p w:rsidR="0051461E" w:rsidRPr="00681FD2" w:rsidRDefault="0051461E" w:rsidP="00CF7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r-Latn-CS"/>
        </w:rPr>
        <w:sectPr w:rsidR="0051461E" w:rsidRPr="00681FD2" w:rsidSect="00356B4E">
          <w:type w:val="continuous"/>
          <w:pgSz w:w="11906" w:h="16838"/>
          <w:pgMar w:top="720" w:right="720" w:bottom="720" w:left="720" w:header="709" w:footer="709" w:gutter="0"/>
          <w:cols w:num="2" w:space="720"/>
        </w:sectPr>
      </w:pPr>
    </w:p>
    <w:p w:rsidR="0051461E" w:rsidRPr="00681FD2" w:rsidRDefault="0051461E" w:rsidP="00CF71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r-Latn-CS"/>
        </w:rPr>
        <w:sectPr w:rsidR="0051461E" w:rsidRPr="00681FD2" w:rsidSect="00356B4E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lastRenderedPageBreak/>
        <w:t xml:space="preserve">            Prestupništvo  mladih ima  prioritet u rješavanju kod institucija čiji je zadatak da rade na evidentiranju, podršci,  praćenju, prevenciji, sankcionisanju i resocijalizaciji  maloljetnih prestupnika.  To su prvenstveno centri za socijalni rad, policija, sudovi  i  tužilaštva.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          Kroz informaciju koja sl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ij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edi, sumiraće se rezultati rada ovih institucija, sa osvrtom na  broj počinilaca krivičnih djela i prekršaja,  njihovu fenomenologiju  ali i  aktuelne probleme sa kojima se suočavaju djeca i  maloljetnici,  njihove porodice  i institucije u svom radu.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       Prema maloljetnicima koji se nalaze u sukobu sa zakonom primjenjuju se posebna pravila postupanja koja su uređena Zakonom o zaštiti i postupanju sa djecom i maloljetnicima u  krivičnom postupku  („Službeni glasnik Republike Srpske“ broj 1/11) . Prema ovom Zakonu, pojam djeteta i  maloljetnika definiše se na s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lj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edeći način: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Dijete je svako lice koje  nije navršilo 18 godina;</w:t>
      </w:r>
    </w:p>
    <w:p w:rsidR="0051461E" w:rsidRPr="00681FD2" w:rsidRDefault="0051461E" w:rsidP="00CF71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Prema djetetu, koje u vrijeme izvršenja krivičnog djela nije navršilo 14 godina, ne mogu se izreći krivične sankcije – to su krivično neodgovorna lica i prema njima  mjere izriče i provodi organ starateljstva;</w:t>
      </w:r>
    </w:p>
    <w:p w:rsidR="0051461E" w:rsidRPr="00681FD2" w:rsidRDefault="0051461E" w:rsidP="00CF711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  <w:sectPr w:rsidR="0051461E" w:rsidRPr="00681FD2" w:rsidSect="00356B4E">
          <w:type w:val="continuous"/>
          <w:pgSz w:w="11906" w:h="16838"/>
          <w:pgMar w:top="1440" w:right="1440" w:bottom="1440" w:left="1440" w:header="709" w:footer="709" w:gutter="0"/>
          <w:cols w:space="720"/>
        </w:sect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Maloljetnicima koju su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navršili 14 a nisu navršili 18 godina, ukoliko počine krivično djelo, mogu se izreći sankcije i druge mjere predviđene zakon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om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>Policijska uprava Bijeljina</w:t>
      </w:r>
      <w:r w:rsidRPr="00681FD2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 xml:space="preserve"> </w:t>
      </w:r>
    </w:p>
    <w:p w:rsidR="0051461E" w:rsidRPr="00681FD2" w:rsidRDefault="0051461E" w:rsidP="00CF711C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           U sjediš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t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u koje pokriva Policijska uprava Bijeljina, u toku </w:t>
      </w:r>
      <w:r w:rsidRPr="00681FD2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sr-Latn-CS"/>
        </w:rPr>
        <w:t>2023.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godine, nadležnom Tužilaštvu dostavljeno je 18 izv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eštaja protiv 33 maloljetna lica  počinioca krivičnih djela i to 5 izvještaja za maloljetnike uzrasta od 14-16 godina i 28 za maloljetnike uzrasta od 16-18 godina. Jedan maloljetnik je ženskog pola dok su 32  muškog pola.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>Ova lica počinila su 30 krivičnih  djela, od čega je:  11  krivičnih djela  protiv imovine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;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10 krivičnih djela  ,,Teška krađa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; 1 krivično djelo „Krađa“; 2 krivična djela ,,Oštećenje i oduzimanje tuđe stvari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; </w:t>
      </w:r>
      <w:bookmarkStart w:id="0" w:name="_Hlk170992712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2 krivična  djela </w:t>
      </w:r>
      <w:bookmarkEnd w:id="0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,,Protiv zdravlja ljudi</w:t>
      </w:r>
      <w:bookmarkStart w:id="1" w:name="_Hlk171327158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“;</w:t>
      </w:r>
      <w:bookmarkEnd w:id="1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4 krivična djela ,,Neovlaštena proizvodnja i promet opojnih droga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; 2 krivična djela  ,,Teška tjelesna povreda“; 2 krivična djela ,,Tjelesna povreda“ i 5 ostalih krivičnih d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ela.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>U pre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t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hodnoj godini na području Policijske uprave Bijeljina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nije bilo izricanih mjera policijskog upozorenja.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>Policijska uprava Bijeljina je na osnovu ,,Plana mjera i aktivnosti za prevenciju vršnjačkog nasilja i malo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lj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etničke delinkvencije od 2023. godine do 2027. godine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provodila  niz preventivnih aktivnosti vezanih za maloljetnike u sukobu sa zakonom i to:  „Školski policajac</w:t>
      </w:r>
      <w:bookmarkStart w:id="2" w:name="_Hlk170985426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bookmarkEnd w:id="2"/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, „Otvorena vrata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“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, „Međunarodni dan borbe protiv zloupotrebe i korišćenja droga“, ,,Stop drogama“, ,,Oružje ne štiti već ubija“, ,,Stop vršnjačkom nasilju“, ,,Petarde nisu igračke“. Kroz ove aktivnosti policijski službenici su učenicima i prosvjetnim radnicima osnovnih i srednjih škola kao i roditeljima učenika održali edukativna predavanja na gore navedene teme, te d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i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jelili promotivni materijal i brošure. Navedenim Planom su definisane mjere i aktivnosti spr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ečavanja i suzbijanja vršnjačkog nasilja i malo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lj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etničke delinkvencije kao i drugih oblika asocijalnog ponašanja djece i mladih sa ciljem očuvanja bezb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ednosti u školama Republike Srpske i spr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ečavanja eventualnih incidenata koji bi mogli uticati na ugrožavanje bezbijednosti djece u školama. </w:t>
      </w:r>
    </w:p>
    <w:p w:rsidR="0051461E" w:rsidRPr="00681FD2" w:rsidRDefault="0051461E" w:rsidP="00CF711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Minist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a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rstvo unutrašnjih poslova Republike Srpske podržalo je realizaciju</w:t>
      </w:r>
      <w:r w:rsidRPr="00681FD2">
        <w:rPr>
          <w:rFonts w:ascii="Times New Roman" w:hAnsi="Times New Roman" w:cs="Times New Roman"/>
          <w:sz w:val="24"/>
          <w:szCs w:val="24"/>
        </w:rPr>
        <w:t xml:space="preserve"> projekta ,,Briga o djeci - zajednička odgovornost i obaveza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>, gd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 su policijski službenici stalni članovi multisektorskih timova formiranih u okviru programa. Učešćem u radu timova, unapr</w:t>
      </w:r>
      <w:r>
        <w:rPr>
          <w:rFonts w:ascii="Times New Roman" w:hAnsi="Times New Roman" w:cs="Times New Roman"/>
          <w:sz w:val="24"/>
          <w:szCs w:val="24"/>
        </w:rPr>
        <w:t>ij</w:t>
      </w:r>
      <w:r w:rsidRPr="00681FD2">
        <w:rPr>
          <w:rFonts w:ascii="Times New Roman" w:hAnsi="Times New Roman" w:cs="Times New Roman"/>
          <w:sz w:val="24"/>
          <w:szCs w:val="24"/>
        </w:rPr>
        <w:t>eđena je saradnja sa direktorima škola, nastavnim osobljem, učenicima i roditeljima, kako bi se poboljšalo međusobno pov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erenje, blagovremeno uočili problemi i konfliktni pojedinci, a sve u cilju spr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ečavanja vršnjačkog nasilja.  </w:t>
      </w:r>
    </w:p>
    <w:p w:rsidR="0051461E" w:rsidRPr="00681FD2" w:rsidRDefault="0051461E" w:rsidP="00CF711C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Održana su edukativna predavanja učenicima sedmih razreda osnovnih i prvog razreda srednjih škola na području koje pokriva PU Bijeljina, kao i nastavnom osoblju i roditeljima.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U aktivnostima je  učestvovalo  8 policijskih službenika. Edukativna </w:t>
      </w: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predavanja u planu su i za narednu školsku godinu. </w:t>
      </w:r>
    </w:p>
    <w:p w:rsidR="0051461E" w:rsidRPr="00681FD2" w:rsidRDefault="0051461E" w:rsidP="00CF711C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Saradnja sa nadležnim subjektima, Tužilaštvom, Osnovnim sudom, Centrom za socijalni rad, osnovnim i srednjim školama i zdravstvenim ustanovama,  bila je na zadovoljavajućem nivou, a odvijala se kroz kontinuiran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u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razmjenu podataka, informacija, konsultacija, potpisivanja protokola i sl. U školama je redovno prisutan školski policajac, koji sarađuje sa nastavnim osobljem i učenicima.</w:t>
      </w:r>
    </w:p>
    <w:p w:rsidR="0051461E" w:rsidRPr="00681FD2" w:rsidRDefault="0051461E" w:rsidP="00CF711C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Problemi sa kojima se susreće Policijska Uprava Bijeljina prilikom rada sa maloljetnicima  ogledaju se u nedostatku ustanova za smještaj i prevaspitavanje mladih,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lastRenderedPageBreak/>
        <w:t>prihvatilišta i sl. Osnivanjem ovakvih ustanova izvršilo bi se adekvatno zbrinjavanje i vaspitanje maloljetnika sa problematičnim razvojem. Ovaj  problem, Policijska Uprava  je u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više navrata, isticala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nadležnim institucijama,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vladinim i nevladinim organizacijama, jer su maloljetnici i dalje skloni  asocijalnim obra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s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cima ponašanja  i vršenju krivičnih d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ela. </w:t>
      </w:r>
    </w:p>
    <w:p w:rsidR="0051461E" w:rsidRPr="00681FD2" w:rsidRDefault="0051461E" w:rsidP="00CF711C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 xml:space="preserve">                                                                                        </w:t>
      </w:r>
    </w:p>
    <w:p w:rsidR="0051461E" w:rsidRPr="00681FD2" w:rsidRDefault="0051461E" w:rsidP="00CF711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r-Latn-CS"/>
        </w:rPr>
        <w:t xml:space="preserve">Okružno javno tužilaštvo u Bijeljini </w:t>
      </w:r>
      <w:r w:rsidRPr="00681FD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     </w:t>
      </w:r>
    </w:p>
    <w:p w:rsidR="0051461E" w:rsidRPr="00681FD2" w:rsidRDefault="0051461E" w:rsidP="00CF711C">
      <w:pPr>
        <w:spacing w:after="0" w:line="240" w:lineRule="auto"/>
        <w:ind w:left="10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                                                                      </w:t>
      </w:r>
      <w:r w:rsidRPr="00681FD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     </w:t>
      </w:r>
    </w:p>
    <w:p w:rsidR="0051461E" w:rsidRPr="00681FD2" w:rsidRDefault="0051461E" w:rsidP="00CF711C">
      <w:p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U toku 2023. godine, Okružnom javnom tužilaštvu u Bijeljini, od strane Policijske uprave Bijeljina dostavljeno je 15 izv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eštaja u kojima je prijavljeno ukupno 21 maloljetno lice. Don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ij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ete su tri tužilačke odluke - 2 naredbe o nepokretanju pripremnog postupka i jedan prijedlog za izricanje vaspitne mjere 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P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>ojačan nadzor roditelja,  u odnosu na 4 lica.</w:t>
      </w:r>
    </w:p>
    <w:p w:rsidR="0051461E" w:rsidRPr="00681FD2" w:rsidRDefault="0051461E" w:rsidP="00CF711C">
      <w:pPr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U 2 predmeta su na osnovu prijedloga Tužilaštva donijeta sudska rješenja - vaspitna mjera 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P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ojačan nadzor roditelja i vaspitna mjera 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P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ojačan nadzor organa starateljstva, u odnosu na 3 lica. 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sr-Latn-CS"/>
        </w:rPr>
        <w:t>Osnovni sud u Bijeljini</w:t>
      </w:r>
      <w:r w:rsidRPr="00681FD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r-Latn-CS"/>
        </w:rPr>
        <w:t xml:space="preserve">   </w:t>
      </w:r>
    </w:p>
    <w:p w:rsidR="0051461E" w:rsidRPr="00681FD2" w:rsidRDefault="0051461E" w:rsidP="00CF711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>Podaci Osnovnog suda u Bijeljini o broju riješenih predmeta prema maloljetnicima u krivičnom i prekršajnom postupku u 2023. godini su s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lj</w:t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edeći: </w:t>
      </w:r>
    </w:p>
    <w:p w:rsidR="0051461E" w:rsidRPr="00681FD2" w:rsidRDefault="0051461E" w:rsidP="00CF711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Cs/>
          <w:i/>
          <w:iCs/>
          <w:sz w:val="24"/>
          <w:szCs w:val="20"/>
          <w:u w:val="single"/>
          <w:lang w:eastAsia="sr-Latn-CS"/>
        </w:rPr>
        <w:t>Krivični referat</w:t>
      </w:r>
      <w:r w:rsidRPr="00681FD2">
        <w:rPr>
          <w:rFonts w:ascii="Times New Roman" w:eastAsia="Times New Roman" w:hAnsi="Times New Roman" w:cs="Times New Roman"/>
          <w:bCs/>
          <w:sz w:val="24"/>
          <w:szCs w:val="20"/>
          <w:lang w:eastAsia="sr-Latn-CS"/>
        </w:rPr>
        <w:t xml:space="preserve">: </w:t>
      </w:r>
    </w:p>
    <w:p w:rsidR="0051461E" w:rsidRPr="00681FD2" w:rsidRDefault="0051461E" w:rsidP="00CF711C">
      <w:pPr>
        <w:spacing w:before="120" w:after="12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Cs/>
          <w:sz w:val="24"/>
          <w:szCs w:val="20"/>
          <w:lang w:eastAsia="sr-Latn-CS"/>
        </w:rPr>
        <w:t>Postupak je vođen protiv 5 maloljetnika. U radu je bilo ukupno 3 predmeta</w:t>
      </w:r>
      <w:r>
        <w:rPr>
          <w:rFonts w:ascii="Times New Roman" w:eastAsia="Times New Roman" w:hAnsi="Times New Roman" w:cs="Times New Roman"/>
          <w:bCs/>
          <w:sz w:val="24"/>
          <w:szCs w:val="20"/>
          <w:lang w:val="en-US" w:eastAsia="sr-Latn-CS"/>
        </w:rPr>
        <w:t>,</w:t>
      </w:r>
      <w:r w:rsidRPr="00681FD2">
        <w:rPr>
          <w:rFonts w:ascii="Times New Roman" w:eastAsia="Times New Roman" w:hAnsi="Times New Roman" w:cs="Times New Roman"/>
          <w:bCs/>
          <w:sz w:val="24"/>
          <w:szCs w:val="20"/>
          <w:lang w:eastAsia="sr-Latn-CS"/>
        </w:rPr>
        <w:t xml:space="preserve"> od čega: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Prenesenih predmeta iz pre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t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hodnog perioda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Zaprimljenih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 xml:space="preserve">1 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Riješenih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 xml:space="preserve">3 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Neriješenih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0.</w:t>
      </w:r>
    </w:p>
    <w:p w:rsidR="0051461E" w:rsidRPr="00681FD2" w:rsidRDefault="0051461E" w:rsidP="00CF711C">
      <w:pPr>
        <w:spacing w:before="120" w:after="120" w:line="240" w:lineRule="auto"/>
        <w:ind w:firstLine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Postupci su vođeni zbog počinjenih krivičnih djela: tjelesna povreda, teška krađa i krađa.</w:t>
      </w:r>
    </w:p>
    <w:p w:rsidR="0051461E" w:rsidRPr="00681FD2" w:rsidRDefault="0051461E" w:rsidP="00CF711C">
      <w:pPr>
        <w:spacing w:before="120" w:after="120" w:line="240" w:lineRule="auto"/>
        <w:ind w:firstLine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Izrečene su vaspitne m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ere: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-      Sudski ukor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1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-      Pojačan nadzor roditelja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2.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sr-Latn-CS"/>
        </w:rPr>
        <w:t>Prekršajni referat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Postupak je vođen protiv 54  maloljetnika. U radu je bilo 50 predmeta i to: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after="0" w:line="240" w:lineRule="auto"/>
        <w:ind w:hanging="340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-   Prenesenih predmeta iz pre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t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hodnog perioda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="006F5DE1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 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7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</w:p>
    <w:p w:rsidR="0051461E" w:rsidRPr="00681FD2" w:rsidRDefault="0051461E" w:rsidP="00CF711C">
      <w:pPr>
        <w:spacing w:after="0" w:line="240" w:lineRule="auto"/>
        <w:ind w:hanging="340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-   Zaprimljeno (novi predmeti)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="006F5DE1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47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</w:p>
    <w:p w:rsidR="0051461E" w:rsidRPr="00681FD2" w:rsidRDefault="0051461E" w:rsidP="00CF711C">
      <w:pPr>
        <w:spacing w:after="0" w:line="240" w:lineRule="auto"/>
        <w:ind w:hanging="340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-   Riješenih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 xml:space="preserve">36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</w:p>
    <w:p w:rsidR="0051461E" w:rsidRPr="00681FD2" w:rsidRDefault="0051461E" w:rsidP="00CF711C">
      <w:pPr>
        <w:spacing w:after="0" w:line="240" w:lineRule="auto"/>
        <w:ind w:hanging="340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-   Neriješenih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14.</w:t>
      </w:r>
    </w:p>
    <w:p w:rsidR="0051461E" w:rsidRPr="00681FD2" w:rsidRDefault="0051461E" w:rsidP="00CF711C">
      <w:pPr>
        <w:spacing w:before="120" w:after="120" w:line="240" w:lineRule="auto"/>
        <w:ind w:firstLine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U navedenim predmetima prekršajni postupci su vođeni  iz oblasti: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Saobraćaj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24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Javni red i mir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21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lastRenderedPageBreak/>
        <w:t>Carina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 xml:space="preserve"> </w:t>
      </w:r>
      <w:r w:rsidR="006F5DE1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2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Zakon o suzbijanju zloupotreba opojnih droga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 xml:space="preserve"> 2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Zakon o spr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ečavanju nasilja na sportskim </w:t>
      </w:r>
    </w:p>
    <w:p w:rsidR="0051461E" w:rsidRPr="00681FD2" w:rsidRDefault="0051461E" w:rsidP="00CF711C">
      <w:pPr>
        <w:pStyle w:val="ListParagraph"/>
        <w:spacing w:before="120" w:after="120" w:line="240" w:lineRule="auto"/>
        <w:ind w:left="714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priredbama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="006F5DE1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1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Za navedene prekršaje izrečene su s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lj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edeće vaspitne mjere: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Sudski ukor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27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Pojačan nadzor roditelja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2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Pojačan nadzor organa starateljstva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="006F5DE1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           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2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Oslobađanje odgovornosti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1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 xml:space="preserve">Odbacivanje 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3</w:t>
      </w:r>
    </w:p>
    <w:p w:rsidR="0051461E" w:rsidRPr="00681FD2" w:rsidRDefault="0051461E" w:rsidP="00CF711C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>Obustava postupka</w:t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iCs/>
          <w:sz w:val="24"/>
          <w:szCs w:val="20"/>
          <w:lang w:eastAsia="sr-Latn-CS"/>
        </w:rPr>
        <w:tab/>
        <w:t>1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r-Latn-CS"/>
        </w:rPr>
      </w:pPr>
    </w:p>
    <w:p w:rsidR="0051461E" w:rsidRPr="00681FD2" w:rsidRDefault="0051461E" w:rsidP="00CF711C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r-Latn-CS"/>
        </w:rPr>
        <w:t>Centar za socijalni rad Bijeljina</w:t>
      </w:r>
    </w:p>
    <w:p w:rsidR="0051461E" w:rsidRPr="00681FD2" w:rsidRDefault="0051461E" w:rsidP="00CF711C">
      <w:pPr>
        <w:pStyle w:val="ListParagraph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sr-Latn-CS"/>
        </w:rPr>
        <w:t xml:space="preserve">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U 2023. godini, JU  Centar za socijalni rad Bijeljina registrovao je preko 350 djece i maloljetnika sa  različitim problem</w:t>
      </w:r>
      <w:r>
        <w:rPr>
          <w:rFonts w:ascii="Times New Roman" w:hAnsi="Times New Roman" w:cs="Times New Roman"/>
          <w:sz w:val="24"/>
          <w:szCs w:val="24"/>
        </w:rPr>
        <w:t>im</w:t>
      </w:r>
      <w:r w:rsidRPr="00681FD2">
        <w:rPr>
          <w:rFonts w:ascii="Times New Roman" w:hAnsi="Times New Roman" w:cs="Times New Roman"/>
          <w:sz w:val="24"/>
          <w:szCs w:val="24"/>
        </w:rPr>
        <w:t>a u ponaš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>nju, te rizicima za razvoj  devijantnog/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antisocijalnog i  asocijalnog ponašanja. Od tog  broja, 42 maloljetnika je u sukobu sa zakonom; 11 maloljetnika počinilo je krivična djela (tjelesna povreda, teška tjelesna povreda, neovlaštena proizvodnja i promet opojnih droga, tuča, zlostavljanje i mučenje i drugo nedolično ponašanje); 31 maloljetnik izvršio je prekršaje (12 prekršaja iz Zakona o javnom redu i miru i 19 prekršaja iz Zakona o osnovama bezbjednosti saobraćaja).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Izrečeno je ukupno 39 vaspitnih  mjera i to: 29 sudskih ukora, 8 pojačanih  nadzora roditelja, 2 vaspitne mjer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81FD2">
        <w:rPr>
          <w:rFonts w:ascii="Times New Roman" w:hAnsi="Times New Roman" w:cs="Times New Roman"/>
          <w:sz w:val="24"/>
          <w:szCs w:val="24"/>
        </w:rPr>
        <w:t xml:space="preserve"> pojačanog nadzora organa starateljstva, 7 drugih sudskih odluka- naredbi o nepokretanju postupka, načelo oportuniteta, odbacujućih rješenja. Nije bilo sm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eštaja u  Vaspitno popravni dom u Banja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681FD2">
        <w:rPr>
          <w:rFonts w:ascii="Times New Roman" w:hAnsi="Times New Roman" w:cs="Times New Roman"/>
          <w:sz w:val="24"/>
          <w:szCs w:val="24"/>
        </w:rPr>
        <w:t xml:space="preserve">uci. 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Kontinuirano se radilo  na provođenju izrečenih vaspitnih  mjera iz  izv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eštajnog perioda 2023. godine i to: 8 pojačanih  nadzora roditelja, 2 vaspitne mjera pojačanog nadzora organa starateljstva  i nastavljeno provođenje 4 pojačana nadzora organa starateljstva   i 1 pojačan nadzor  roditelja iz 2022. godine</w:t>
      </w: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Važno je istaći da se  u  radu sa djecom i njihovim porodicama došlo  do zaključka da se problemi u ponašanju djece i mladih  dosta usložnjavaju i da je u stalnom porastu  broj djece  koja su  konzumenti psihoaktivnih supstanci, koji ne pohađaju/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napuštaju  školu, mladih sa agresivnim ponašanjem, mladih sklonih nasilnim obrazcima ponašanja, djece sa  problem</w:t>
      </w:r>
      <w:r>
        <w:rPr>
          <w:rFonts w:ascii="Times New Roman" w:hAnsi="Times New Roman" w:cs="Times New Roman"/>
          <w:sz w:val="24"/>
          <w:szCs w:val="24"/>
        </w:rPr>
        <w:t>im</w:t>
      </w:r>
      <w:r w:rsidRPr="00681FD2">
        <w:rPr>
          <w:rFonts w:ascii="Times New Roman" w:hAnsi="Times New Roman" w:cs="Times New Roman"/>
          <w:sz w:val="24"/>
          <w:szCs w:val="24"/>
        </w:rPr>
        <w:t>a u mentalnom zdravlju. Evidentna je kriza ,,savremene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 xml:space="preserve"> porodice koja ili nema kapaciteta da se nosi sa izazovima roditeljstva  ili ne podstiče zdrav rast i razvoj svoje djece. Rad sa  roditeljima je vrlo često iscrpan, dugotrajan i zaht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81FD2">
        <w:rPr>
          <w:rFonts w:ascii="Times New Roman" w:hAnsi="Times New Roman" w:cs="Times New Roman"/>
          <w:sz w:val="24"/>
          <w:szCs w:val="24"/>
        </w:rPr>
        <w:t>jeva multidisciplinarni pristup, jer je ključ u r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ešavanju problema u najvećem broju slučajeva upravo saradnja stručnjaka sa roditeljima. </w:t>
      </w: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Dešavanja u sus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ednoj Srbiji (masovno ubistvo učenika u Osnovnoj školi  ,,Vladisav Ribnikar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 xml:space="preserve"> u maju 2023. godine) usm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erila su pažnju  stručnjaka na  važnost rane detekcije problema u ponaš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>nju kod djece.  Period koji je za nama, mobilisao je sve resurse i instutucije koje rade sa djecom, da na vr</w:t>
      </w:r>
      <w:r>
        <w:rPr>
          <w:rFonts w:ascii="Times New Roman" w:hAnsi="Times New Roman" w:cs="Times New Roman"/>
          <w:sz w:val="24"/>
          <w:szCs w:val="24"/>
        </w:rPr>
        <w:t>ij</w:t>
      </w:r>
      <w:r w:rsidRPr="00681FD2">
        <w:rPr>
          <w:rFonts w:ascii="Times New Roman" w:hAnsi="Times New Roman" w:cs="Times New Roman"/>
          <w:sz w:val="24"/>
          <w:szCs w:val="24"/>
        </w:rPr>
        <w:t>eme prepoznaju, adekvatno reaguju i pruže podršku djetetu.</w:t>
      </w: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Neposredno nakon pomenute nesreće i na našem području djeca su  počela sa ispoljavanjem različitih neprihvatljivih obrazaca ponašanja (napad na nastavno osoblje, </w:t>
      </w:r>
      <w:r w:rsidRPr="00681FD2">
        <w:rPr>
          <w:rFonts w:ascii="Times New Roman" w:hAnsi="Times New Roman" w:cs="Times New Roman"/>
          <w:sz w:val="24"/>
          <w:szCs w:val="24"/>
        </w:rPr>
        <w:lastRenderedPageBreak/>
        <w:t>upućivanje pr</w:t>
      </w:r>
      <w:r>
        <w:rPr>
          <w:rFonts w:ascii="Times New Roman" w:hAnsi="Times New Roman" w:cs="Times New Roman"/>
          <w:sz w:val="24"/>
          <w:szCs w:val="24"/>
        </w:rPr>
        <w:t>ij</w:t>
      </w:r>
      <w:r w:rsidRPr="00681FD2">
        <w:rPr>
          <w:rFonts w:ascii="Times New Roman" w:hAnsi="Times New Roman" w:cs="Times New Roman"/>
          <w:sz w:val="24"/>
          <w:szCs w:val="24"/>
        </w:rPr>
        <w:t>etnji, širenje straha i mržnje prema drugima na način da se iste objavljuju na društvenim mrežama ili zapisuju, targetiranje određenih vršnjaka kao nepoželjnih). Sa druge strane, u javnosti se počeo širiti strah od nesreće. Najveća zabrinutost prepoznata je kod roditelja  ali i nastavnika u školama koji su verovatno  iz nemoći i nespremnosti za novonastalu sutuaciju, tražili od institucija da se problemi što prije i u potpunosti riješe. Resorna ministarstva pokušala su da donošenjem propisa, protokola i izm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enama zakona probleme drže pod kontrolom. </w:t>
      </w: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  <w:r w:rsidRPr="009645DC">
        <w:rPr>
          <w:rFonts w:ascii="Times New Roman" w:hAnsi="Times New Roman" w:cs="Times New Roman"/>
          <w:sz w:val="24"/>
          <w:szCs w:val="24"/>
        </w:rPr>
        <w:t>Da li nam  rješenja i preporuke  donijeti na brzinu  mogu biti od pomoći i da li su ona primjenjiva u našem  kontekstu rada i kapaciteta sa kojima raspolažemo (nedostatak stručnog kadra, nedostatak smještajnih kapaciteta, nedostatak ustanova za liječenje i osposobljavanje djece, programa podrške, preopterećenost  sistema socijalne zaštite, sudova..), postavlja se pitanje?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Što se tiče rada Centra za socijalni rad Bijeljina u radu na predmetima koji  u fokus stavljaju djecu sa problemima u ponašanju i njihove porodice, dominirao je  sav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etodavni rad,  prim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ena mjera iz Porodičnog zakona ( mjere upozorenje, nadzor </w:t>
      </w:r>
      <w:bookmarkStart w:id="3" w:name="_Hlk170885328"/>
      <w:r w:rsidRPr="00681FD2">
        <w:rPr>
          <w:rFonts w:ascii="Times New Roman" w:hAnsi="Times New Roman" w:cs="Times New Roman"/>
          <w:sz w:val="24"/>
          <w:szCs w:val="24"/>
        </w:rPr>
        <w:t>nad vršenjem roditeljskog prava</w:t>
      </w:r>
      <w:bookmarkEnd w:id="3"/>
      <w:r w:rsidRPr="00681FD2">
        <w:rPr>
          <w:rFonts w:ascii="Times New Roman" w:hAnsi="Times New Roman" w:cs="Times New Roman"/>
          <w:sz w:val="24"/>
          <w:szCs w:val="24"/>
        </w:rPr>
        <w:t>, pojačani nadzor nad vršenjem roditeljskog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prava, privremeno izdvajanje djeteta iz porodice)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kao i prim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ena mjera iz Zakona o postupanju sa djecom i maloljetnicima u  krivičnom postuku (predlaganje i praćenje vaspitnih mjera, mjera upozorenja i mjera bezbijednosti, zavodskih vaspitnih mjera), kao i usluge Dnevnog centra za djecu u riziku.  Praksa pokazuje da se najvećem broju maloljetnika u sukobu sa zakonom izriču mjere ukora, te mjere pojačanog nadzora organa starateljstva i pojačanog nadzora roditelja. Upitna je resocijalizacija maloljetnika u okviru provođenja mjera pojačanih nadzora, imajući u vidu sve veću nemotivisanost mladih i njihovih porodica da rade na promjeni dotadašnjih obrazaca ponašanja ali i  nedostatak  programa  u zajednici  (nedostatak stručnog kadra u ustanovama, nedostatak savjetovališta, klubova za mlade, drugih programa u zajednici).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ab/>
        <w:t>Upoređujući podatke  nekoliko godina unazad, primjećuje se niži broj maloljetnih izvršilaca krivičnih djela. Daleko je veći broj  djece i mladih koji ispoljavaju različitu fenomenologiju asocijalnih obrazaca ponašanja i devijantnog ponašanja (koja tužilaštva ne kvalifikuju kao krivična djela). Primjećen je i porast izvršilaca krvičnih djela ispod 14 godina starosti, gdje nema vođenja postupka i gdje se rad sa  djetetom i njegovom porodicom svodi na  rad Centra za socijalni rad i drugih institucija koje mogu biti podrška.  Nedostatak sm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eštajnih kapaciteta za djecu bez obzira sa kojim problemima se suočavaju je veliki problem  u Republici Srpskoj. Posebno je izazovan rad sa djecom za koju se proc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enjuje da imaju problem u ponašanju i mentalnom zdravlju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a izostaje podrška  porodice. U začaranom krugu očekivanja i pritisaka da se problemi riješe (najveća očekivanja imaju škole i roditelji djece koja dolaze u kontakt sa d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etetom koje ima problem)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1FD2">
        <w:rPr>
          <w:rFonts w:ascii="Times New Roman" w:hAnsi="Times New Roman" w:cs="Times New Roman"/>
          <w:sz w:val="24"/>
          <w:szCs w:val="24"/>
        </w:rPr>
        <w:t>nerijetko postoji nerazumijevanje za kontekst u kojem te porodice opstaju i kap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>citete koji  instuticijama  realno nedostaju.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ab/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ab/>
        <w:t xml:space="preserve"> U toku 2023. godine nastavljene  su aktivnosti saradnje sa školama na području Grada Bijeljina u okviru projekta ,,Briga o djeci - zajednička odgovornost i obaveza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>.  Treba napomenuti da projekat ,,Briga o djeci - zajednička odgovornost i obaveza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 xml:space="preserve"> realizuje Republički pedagoški zavod uz podršku Ministarstva zdravlja i socijalne zaštite, Ministarstva prosvjete i kulture, Ministarstva unutrašnjih poslova i Ministarstva uprave i lokalne samouprave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a da su radnici Centra za socijalni rad stalni  članovi  tima i zajedno sa drugim članovima u okviru škole rade na rješavanju različitih  problema djece  i omladine. Ovi sastanci su intenzivirani nakon pomenutih dešavanja u Srbiji i imali su značajan učinak u rješavanju problema kod djece u </w:t>
      </w:r>
      <w:r w:rsidRPr="00681FD2">
        <w:rPr>
          <w:rFonts w:ascii="Times New Roman" w:hAnsi="Times New Roman" w:cs="Times New Roman"/>
          <w:sz w:val="24"/>
          <w:szCs w:val="24"/>
        </w:rPr>
        <w:lastRenderedPageBreak/>
        <w:t>školama. JU Centar za socijalni rad Bijeljina  je, između ostalog,  sa 4 edukativna predavanja stručnih radnika  u školama, dao doprinos prevenciji problema u ponaš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>nju.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Radna grupa za zaštitu i bezbijednost djece na području Grada Bijeljina nešto manje je radila  na rješavanju slučajeva visokog i srednjeg rizika kod djece koja su potencijalne žrtve trgovine. Nakon niza aktivnosti provedenih sa ciljem otvaranja Prihvatilišta na području grada Bijeljina, te izrađenog  Elaborata o opravdanosti otvaranja prihvatilišta,  otpočete su aktivnosti za gradnju istog.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I dalje postoji problem prosjačenja na ulicama Grada Bijeljina u kojem učestvuje veći broj djece romske nacionalnosti. Pored mjera podrške ovim porodicama, prosjačenje opstaje i sa sobom povlači i druge probleme,  počev od nepohađanja škole, vršenja krivičnih djela, malo</w:t>
      </w:r>
      <w:r>
        <w:rPr>
          <w:rFonts w:ascii="Times New Roman" w:hAnsi="Times New Roman" w:cs="Times New Roman"/>
          <w:sz w:val="24"/>
          <w:szCs w:val="24"/>
        </w:rPr>
        <w:t>lj</w:t>
      </w:r>
      <w:r w:rsidRPr="00681FD2">
        <w:rPr>
          <w:rFonts w:ascii="Times New Roman" w:hAnsi="Times New Roman" w:cs="Times New Roman"/>
          <w:sz w:val="24"/>
          <w:szCs w:val="24"/>
        </w:rPr>
        <w:t xml:space="preserve">etničkih brakova, trgovine ljudima.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U toku 2023. godine započeta je realizacija projekta „Razvoj i implementacija programa kao odgovor na potrebe djece sa poremećajima u ponašanju“</w:t>
      </w:r>
      <w:r w:rsidRPr="00681FD2"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koji je sufinansiran od strane Evropske unije-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 xml:space="preserve">IPA Program prekogranične saradnje Srb-BiH 2014-2020 u partnerstvu Pokrajinskog zavoda za socijalnu zaštitu iz Novog Sada sa Centrom za socijalni rad Stara Pazova i Centrom za socijalni rad Bijeljina. U okviru projekta koji  traje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81FD2">
        <w:rPr>
          <w:rFonts w:ascii="Times New Roman" w:hAnsi="Times New Roman" w:cs="Times New Roman"/>
          <w:sz w:val="24"/>
          <w:szCs w:val="24"/>
        </w:rPr>
        <w:t>8 mjeseci, između ostalog provedena je edukacija za 4 stručna ra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81FD2">
        <w:rPr>
          <w:rFonts w:ascii="Times New Roman" w:hAnsi="Times New Roman" w:cs="Times New Roman"/>
          <w:sz w:val="24"/>
          <w:szCs w:val="24"/>
        </w:rPr>
        <w:t>nika- koji su dobili sertifikate za trenere  iz oblasti rada sa djecom sa poremećajima u ponašanju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a koji su dalje obučili 20 kolega stručnih radnika za rad sa djecom sa poremećajem u ponašnju u okviru svojih institucija i Dnevnih centara.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Treba naglasiti da je problem i fenomenologija malo</w:t>
      </w:r>
      <w:r>
        <w:rPr>
          <w:rFonts w:ascii="Times New Roman" w:hAnsi="Times New Roman" w:cs="Times New Roman"/>
          <w:sz w:val="24"/>
          <w:szCs w:val="24"/>
        </w:rPr>
        <w:t>lj</w:t>
      </w:r>
      <w:r w:rsidRPr="00681FD2">
        <w:rPr>
          <w:rFonts w:ascii="Times New Roman" w:hAnsi="Times New Roman" w:cs="Times New Roman"/>
          <w:sz w:val="24"/>
          <w:szCs w:val="24"/>
        </w:rPr>
        <w:t>etničkog prestupništva i asocijalnog ponašanja postao ozbiljan ne samo kod nas već i u zemljama u regionu. Su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81FD2">
        <w:rPr>
          <w:rFonts w:ascii="Times New Roman" w:hAnsi="Times New Roman" w:cs="Times New Roman"/>
          <w:sz w:val="24"/>
          <w:szCs w:val="24"/>
        </w:rPr>
        <w:t>čeni smo sa novim trendom i  pojavom problema kod djece na nižem kalendarskom  uzrastu, sa fenomenologijom koja je do sada bila manje vidljiva (internet i njegov uticaj na djecu), sa sve većim brojem djece i maloljetnika koji imaju psihičke i mentalne poteškoće, sa krizom porodice koja gubi svoju tradicionalnu ulogu i postaje  vrlo često ,,nesnađena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81FD2">
        <w:rPr>
          <w:rFonts w:ascii="Times New Roman" w:hAnsi="Times New Roman" w:cs="Times New Roman"/>
          <w:sz w:val="24"/>
          <w:szCs w:val="24"/>
        </w:rPr>
        <w:t xml:space="preserve"> na putu transformacije i težnje za modernim. 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ab/>
        <w:t>Reforma u ovoj oblasti  mora biti sistemska i dobro isplanirana, prim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enjiva u kontekstu u kojem mi kao društvo egzistiramo, prilago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81FD2">
        <w:rPr>
          <w:rFonts w:ascii="Times New Roman" w:hAnsi="Times New Roman" w:cs="Times New Roman"/>
          <w:sz w:val="24"/>
          <w:szCs w:val="24"/>
        </w:rPr>
        <w:t>ljiva našem mentalitetu i sa  tendenc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81FD2">
        <w:rPr>
          <w:rFonts w:ascii="Times New Roman" w:hAnsi="Times New Roman" w:cs="Times New Roman"/>
          <w:sz w:val="24"/>
          <w:szCs w:val="24"/>
        </w:rPr>
        <w:t xml:space="preserve">jom širenja mjera i usluga prema djetetu u problemu.  </w:t>
      </w:r>
    </w:p>
    <w:p w:rsidR="0051461E" w:rsidRPr="00681FD2" w:rsidRDefault="0051461E" w:rsidP="00CF71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JU Centar za socijalni rad Bijeljina je 2016. godine osnovao  Dnevni centar za djecu u riziku, sa ciljem pružanja sveobuhvatne podrške  </w:t>
      </w:r>
      <w:r>
        <w:rPr>
          <w:rFonts w:ascii="Times New Roman" w:hAnsi="Times New Roman" w:cs="Times New Roman"/>
          <w:sz w:val="24"/>
          <w:szCs w:val="24"/>
        </w:rPr>
        <w:t xml:space="preserve">djeci </w:t>
      </w:r>
      <w:r w:rsidRPr="00681FD2">
        <w:rPr>
          <w:rFonts w:ascii="Times New Roman" w:hAnsi="Times New Roman" w:cs="Times New Roman"/>
          <w:sz w:val="24"/>
          <w:szCs w:val="24"/>
        </w:rPr>
        <w:t>koja imaju probleme u ponaš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 xml:space="preserve">nju ili su u riziku od nastanka istih. 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pStyle w:val="NoSpacing"/>
        <w:ind w:firstLine="720"/>
        <w:rPr>
          <w:bCs/>
          <w:noProof w:val="0"/>
          <w:szCs w:val="24"/>
          <w:lang w:val="sr-Cyrl-BA"/>
        </w:rPr>
      </w:pPr>
      <w:r w:rsidRPr="00681FD2">
        <w:rPr>
          <w:noProof w:val="0"/>
          <w:szCs w:val="24"/>
          <w:lang w:val="sr-Cyrl-BA"/>
        </w:rPr>
        <w:t>Tokom 2023. godine</w:t>
      </w:r>
      <w:r>
        <w:rPr>
          <w:noProof w:val="0"/>
          <w:szCs w:val="24"/>
          <w:lang w:val="sr-Cyrl-BA"/>
        </w:rPr>
        <w:t>,</w:t>
      </w:r>
      <w:r w:rsidRPr="00681FD2">
        <w:rPr>
          <w:noProof w:val="0"/>
          <w:szCs w:val="24"/>
          <w:lang w:val="sr-Cyrl-BA"/>
        </w:rPr>
        <w:t xml:space="preserve"> Dnevni centar za djecu u riziku je posjetilo</w:t>
      </w:r>
      <w:r w:rsidRPr="00681FD2">
        <w:rPr>
          <w:b/>
          <w:noProof w:val="0"/>
          <w:szCs w:val="24"/>
          <w:lang w:val="sr-Cyrl-BA"/>
        </w:rPr>
        <w:t xml:space="preserve"> </w:t>
      </w:r>
      <w:r w:rsidRPr="00681FD2">
        <w:rPr>
          <w:bCs/>
          <w:noProof w:val="0"/>
          <w:szCs w:val="24"/>
          <w:lang w:val="sr-Cyrl-BA"/>
        </w:rPr>
        <w:t xml:space="preserve">56 korisnika i ukupno su ostvarili 2864 posjete. Od ukupno 56 korisnika, Dnevni centar za djecu u riziku posjećivalo je 32 korisnika muškog pola i 24 korisnika ženskog pola. </w:t>
      </w:r>
    </w:p>
    <w:p w:rsidR="0051461E" w:rsidRPr="00681FD2" w:rsidRDefault="0051461E" w:rsidP="00CF711C">
      <w:pPr>
        <w:pStyle w:val="NoSpacing"/>
        <w:ind w:firstLine="708"/>
        <w:rPr>
          <w:noProof w:val="0"/>
          <w:szCs w:val="24"/>
          <w:lang w:val="sr-Cyrl-BA"/>
        </w:rPr>
      </w:pPr>
      <w:r w:rsidRPr="00681FD2">
        <w:rPr>
          <w:noProof w:val="0"/>
          <w:szCs w:val="24"/>
          <w:lang w:val="sr-Cyrl-BA"/>
        </w:rPr>
        <w:t>Pored rada sa djecom</w:t>
      </w:r>
      <w:r>
        <w:rPr>
          <w:noProof w:val="0"/>
          <w:szCs w:val="24"/>
          <w:lang w:val="sr-Cyrl-BA"/>
        </w:rPr>
        <w:t>,</w:t>
      </w:r>
      <w:r w:rsidRPr="00681FD2">
        <w:rPr>
          <w:noProof w:val="0"/>
          <w:szCs w:val="24"/>
          <w:lang w:val="sr-Cyrl-BA"/>
        </w:rPr>
        <w:t xml:space="preserve"> obavljani su informativni/</w:t>
      </w:r>
      <w:r>
        <w:rPr>
          <w:noProof w:val="0"/>
          <w:szCs w:val="24"/>
          <w:lang w:val="sr-Cyrl-BA"/>
        </w:rPr>
        <w:t xml:space="preserve"> </w:t>
      </w:r>
      <w:r w:rsidRPr="00681FD2">
        <w:rPr>
          <w:noProof w:val="0"/>
          <w:szCs w:val="24"/>
          <w:lang w:val="sr-Cyrl-BA"/>
        </w:rPr>
        <w:t xml:space="preserve">savjetodavni razgovori sa roditeljima, odnosno starateljima i hraniteljima i pružana im je psihosocijalna podrška.  </w:t>
      </w:r>
    </w:p>
    <w:p w:rsidR="0051461E" w:rsidRPr="00681FD2" w:rsidRDefault="0051461E" w:rsidP="00CF711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Podrška u učenju je organizovana u 948 individualno prilagođenih časova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u trajanju najmanje pola sata tokom jedne posjete. </w:t>
      </w:r>
    </w:p>
    <w:p w:rsidR="0051461E" w:rsidRPr="00681FD2" w:rsidRDefault="0051461E" w:rsidP="00CF711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Grupni rad u Dnevnom centru za djecu u riziku je organizovan u obliku radionica različitog tipa i to: 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681FD2">
        <w:rPr>
          <w:rFonts w:ascii="Times New Roman" w:hAnsi="Times New Roman" w:cs="Times New Roman"/>
          <w:sz w:val="24"/>
          <w:szCs w:val="24"/>
        </w:rPr>
        <w:t>reativnih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  <w:t>304,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81FD2">
        <w:rPr>
          <w:rFonts w:ascii="Times New Roman" w:hAnsi="Times New Roman" w:cs="Times New Roman"/>
          <w:sz w:val="24"/>
          <w:szCs w:val="24"/>
        </w:rPr>
        <w:t>adno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81FD2">
        <w:rPr>
          <w:rFonts w:ascii="Times New Roman" w:hAnsi="Times New Roman" w:cs="Times New Roman"/>
          <w:sz w:val="24"/>
          <w:szCs w:val="24"/>
        </w:rPr>
        <w:t>okupacionih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  <w:t>369,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lastRenderedPageBreak/>
        <w:t>grupn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681FD2">
        <w:rPr>
          <w:rFonts w:ascii="Times New Roman" w:hAnsi="Times New Roman" w:cs="Times New Roman"/>
          <w:sz w:val="24"/>
          <w:szCs w:val="24"/>
        </w:rPr>
        <w:t>/edukativn</w:t>
      </w:r>
      <w:r>
        <w:rPr>
          <w:rFonts w:ascii="Times New Roman" w:hAnsi="Times New Roman" w:cs="Times New Roman"/>
          <w:sz w:val="24"/>
          <w:szCs w:val="24"/>
        </w:rPr>
        <w:t>ih,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="006F5DE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81FD2">
        <w:rPr>
          <w:rFonts w:ascii="Times New Roman" w:hAnsi="Times New Roman" w:cs="Times New Roman"/>
          <w:sz w:val="24"/>
          <w:szCs w:val="24"/>
        </w:rPr>
        <w:t>75,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sportskih aktivnosti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="006F5DE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81FD2">
        <w:rPr>
          <w:rFonts w:ascii="Times New Roman" w:hAnsi="Times New Roman" w:cs="Times New Roman"/>
          <w:sz w:val="24"/>
          <w:szCs w:val="24"/>
        </w:rPr>
        <w:t>345,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psiholoških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 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="006F5DE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81FD2">
        <w:rPr>
          <w:rFonts w:ascii="Times New Roman" w:hAnsi="Times New Roman" w:cs="Times New Roman"/>
          <w:sz w:val="24"/>
          <w:szCs w:val="24"/>
        </w:rPr>
        <w:t>66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muzičkih radionica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Pr="00681FD2">
        <w:rPr>
          <w:rFonts w:ascii="Times New Roman" w:hAnsi="Times New Roman" w:cs="Times New Roman"/>
          <w:sz w:val="24"/>
          <w:szCs w:val="24"/>
        </w:rPr>
        <w:tab/>
      </w:r>
      <w:r w:rsidR="006F5DE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81FD2">
        <w:rPr>
          <w:rFonts w:ascii="Times New Roman" w:hAnsi="Times New Roman" w:cs="Times New Roman"/>
          <w:sz w:val="24"/>
          <w:szCs w:val="24"/>
        </w:rPr>
        <w:t>72</w:t>
      </w:r>
    </w:p>
    <w:p w:rsidR="0051461E" w:rsidRPr="00681FD2" w:rsidRDefault="0051461E" w:rsidP="00CF711C">
      <w:pPr>
        <w:pStyle w:val="ListParagraph"/>
        <w:numPr>
          <w:ilvl w:val="0"/>
          <w:numId w:val="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psihosocijalna podrška korisnicima i njihovim roditeljima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RPr="00681FD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47625</wp:posOffset>
            </wp:positionH>
            <wp:positionV relativeFrom="paragraph">
              <wp:posOffset>339090</wp:posOffset>
            </wp:positionV>
            <wp:extent cx="2438400" cy="2000250"/>
            <wp:effectExtent l="0" t="0" r="0" b="0"/>
            <wp:wrapSquare wrapText="bothSides"/>
            <wp:docPr id="8547006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461E" w:rsidRPr="00681FD2" w:rsidRDefault="0051461E" w:rsidP="00CF71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Kreativna radionica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Kreativne radionice su bile tematski organizovane u skladu sa potrebama djece i sa predviđenim aktivnostima. Tokom 2023. godine radilo se na s</w:t>
      </w:r>
      <w:r>
        <w:rPr>
          <w:rFonts w:ascii="Times New Roman" w:hAnsi="Times New Roman" w:cs="Times New Roman"/>
          <w:sz w:val="24"/>
          <w:szCs w:val="24"/>
        </w:rPr>
        <w:t>lj</w:t>
      </w:r>
      <w:r w:rsidRPr="00681FD2">
        <w:rPr>
          <w:rFonts w:ascii="Times New Roman" w:hAnsi="Times New Roman" w:cs="Times New Roman"/>
          <w:sz w:val="24"/>
          <w:szCs w:val="24"/>
        </w:rPr>
        <w:t xml:space="preserve">edećim radionicama: </w:t>
      </w: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RPr="00681FD2" w:rsidSect="009E00D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81FD2">
        <w:rPr>
          <w:rFonts w:ascii="Times New Roman" w:hAnsi="Times New Roman" w:cs="Times New Roman"/>
          <w:sz w:val="24"/>
          <w:szCs w:val="24"/>
        </w:rPr>
        <w:t>Pano – Proljeće, Ljeto, Jesen, Zima, Izrada ukrasa za Novu godinu, Eko poruke, Ukrašavanje saksija sa pšenicom, Vaskršnji motivi, Porodično stablo, Figure od plastelina, rad felt, kolaž, spužvastim papirom-izrada raznih ukrasa, Rad za roditelje, Mozaik, Nakit od perli, Rad akrilom, lakom, dekupaž na drvetu i staklu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8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332105</wp:posOffset>
            </wp:positionV>
            <wp:extent cx="2428875" cy="2162175"/>
            <wp:effectExtent l="0" t="0" r="9525" b="9525"/>
            <wp:wrapSquare wrapText="right"/>
            <wp:docPr id="14188996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461E" w:rsidRPr="00594681" w:rsidRDefault="0051461E" w:rsidP="00CF711C">
      <w:pPr>
        <w:tabs>
          <w:tab w:val="left" w:pos="960"/>
        </w:tabs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94681">
        <w:rPr>
          <w:rFonts w:ascii="Times New Roman" w:hAnsi="Times New Roman" w:cs="Times New Roman"/>
          <w:i/>
          <w:iCs/>
          <w:sz w:val="24"/>
          <w:szCs w:val="24"/>
        </w:rPr>
        <w:t>Radno-okupaciona radionica</w:t>
      </w:r>
    </w:p>
    <w:p w:rsidR="0051461E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Radno-okupacione radionice su izvođene tokom cijele godine u dvorištu i u bašti Dnevnog centra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81FD2">
        <w:rPr>
          <w:rFonts w:ascii="Times New Roman" w:hAnsi="Times New Roman" w:cs="Times New Roman"/>
          <w:sz w:val="24"/>
          <w:szCs w:val="24"/>
        </w:rPr>
        <w:t xml:space="preserve"> Korisnici su se upoznali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sa procesom sijanja i uzgajanja bilja u bašti. Tokom 2023. godine radilo se na s</w:t>
      </w:r>
      <w:r>
        <w:rPr>
          <w:rFonts w:ascii="Times New Roman" w:hAnsi="Times New Roman" w:cs="Times New Roman"/>
          <w:sz w:val="24"/>
          <w:szCs w:val="24"/>
        </w:rPr>
        <w:t>lj</w:t>
      </w:r>
      <w:r w:rsidRPr="00681FD2">
        <w:rPr>
          <w:rFonts w:ascii="Times New Roman" w:hAnsi="Times New Roman" w:cs="Times New Roman"/>
          <w:sz w:val="24"/>
          <w:szCs w:val="24"/>
        </w:rPr>
        <w:t xml:space="preserve">edećim radionicama: čišćenje dvorišta, kupljenje smeća, grabanje lišća, raspremanje dnevnog boravka, sijanje cvijeća i pšenice, sijanje povrća, 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681FD2">
        <w:rPr>
          <w:rFonts w:ascii="Times New Roman" w:hAnsi="Times New Roman" w:cs="Times New Roman"/>
          <w:sz w:val="24"/>
          <w:szCs w:val="24"/>
        </w:rPr>
        <w:t>upanje trave i priprema cvjetnjaka za sadnju, 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 xml:space="preserve">sađivanje cvijeća, uređenje dvorišta, zalivanje sadnica i bašte,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81FD2">
        <w:rPr>
          <w:rFonts w:ascii="Times New Roman" w:hAnsi="Times New Roman" w:cs="Times New Roman"/>
          <w:sz w:val="24"/>
          <w:szCs w:val="24"/>
        </w:rPr>
        <w:t xml:space="preserve">ijanje pšenice,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81FD2">
        <w:rPr>
          <w:rFonts w:ascii="Times New Roman" w:hAnsi="Times New Roman" w:cs="Times New Roman"/>
          <w:sz w:val="24"/>
          <w:szCs w:val="24"/>
        </w:rPr>
        <w:t>rezivanje tuja, pr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81FD2">
        <w:rPr>
          <w:rFonts w:ascii="Times New Roman" w:hAnsi="Times New Roman" w:cs="Times New Roman"/>
          <w:sz w:val="24"/>
          <w:szCs w:val="24"/>
        </w:rPr>
        <w:t xml:space="preserve">hrana povrća i voća, farbanje ograde, stepeništa i dr. </w:t>
      </w:r>
    </w:p>
    <w:p w:rsidR="0051461E" w:rsidRPr="00681FD2" w:rsidRDefault="0051461E" w:rsidP="00CF711C">
      <w:pPr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RPr="00681FD2" w:rsidSect="00681FD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F5DE1" w:rsidRDefault="006F5DE1" w:rsidP="00CF711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6F5DE1" w:rsidRDefault="006F5DE1" w:rsidP="00CF711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1461E" w:rsidRPr="00681FD2" w:rsidRDefault="0051461E" w:rsidP="00CF711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81FD2">
        <w:rPr>
          <w:rFonts w:ascii="Times New Roman" w:hAnsi="Times New Roman" w:cs="Times New Roman"/>
          <w:i/>
          <w:iCs/>
          <w:sz w:val="24"/>
          <w:szCs w:val="24"/>
        </w:rPr>
        <w:t>Edukativne radionice</w:t>
      </w:r>
    </w:p>
    <w:p w:rsidR="006F5DE1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F5DE1" w:rsidSect="00681FD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681FD2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2619375" cy="2181225"/>
            <wp:effectExtent l="0" t="0" r="9525" b="0"/>
            <wp:wrapSquare wrapText="bothSides"/>
            <wp:docPr id="13493125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FD2">
        <w:rPr>
          <w:rFonts w:ascii="Times New Roman" w:hAnsi="Times New Roman" w:cs="Times New Roman"/>
          <w:sz w:val="24"/>
          <w:szCs w:val="24"/>
        </w:rPr>
        <w:t>Edukativne i grupne radionice su izvođene tokom cijele godine, na različite teme zarad edukovanja i informisanja korisnika kao i kvalitetnijeg provođenja vremena. Edukativne radionice su pokrivale teme Zdrave ishrane, Pravila lijepog ponašanja, Odnosa prema sebi, Odnosa prema drugima, „Šta je to drugarstvo“ - kroz igranje uloga; Tekuće i stajaće vode, Piramida potreba, Vrste saobraćaja, Emocije, Odnosi u porodici, Ljubomora, Vrste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ptica; Lepeze/sveznalice; Anksioznost/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upoznavanje pojma, Ljudska figura, Forum teatar i dr</w:t>
      </w:r>
      <w:r w:rsidR="006F5DE1">
        <w:rPr>
          <w:rFonts w:ascii="Times New Roman" w:hAnsi="Times New Roman" w:cs="Times New Roman"/>
          <w:sz w:val="24"/>
          <w:szCs w:val="24"/>
        </w:rPr>
        <w:t>.</w:t>
      </w: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278130</wp:posOffset>
            </wp:positionV>
            <wp:extent cx="2647950" cy="2619375"/>
            <wp:effectExtent l="0" t="0" r="0" b="9525"/>
            <wp:wrapSquare wrapText="bothSides"/>
            <wp:docPr id="19" name="Picture 85" descr="C:\Users\KORISNIK\AppData\Local\Microsoft\Windows\INetCache\Content.Word\thumbnail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Users\KORISNIK\AppData\Local\Microsoft\Windows\INetCache\Content.Word\thumbnail (18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461E" w:rsidRPr="00681FD2" w:rsidRDefault="0051461E" w:rsidP="00CF711C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81FD2">
        <w:rPr>
          <w:rFonts w:ascii="Times New Roman" w:hAnsi="Times New Roman" w:cs="Times New Roman"/>
          <w:i/>
          <w:iCs/>
          <w:sz w:val="24"/>
          <w:szCs w:val="24"/>
        </w:rPr>
        <w:lastRenderedPageBreak/>
        <w:t>Sportske aktivnosti</w:t>
      </w: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Sportske aktivnosti su izvođene tokom cijele godine, a pokrivale su aktivnosti grupnih sportova, vježbi za jačanje tijela, animiranja i socijalizaciju djece. Aktivnosti koje su izvođene su: igre u dvorištu Dnevnog centra- fudbal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(takmičenje u šutiranju na prazan gol, igra 2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2), odbojka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(krug-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odbijanje lopte prstima,čekićem),  košarka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(takmičenja u pogađanju slobodnih bacanja), elementarne igre, igre spretnosti i koordinacije (štafetna takmičenja bez lopte i sa loptom,  igre za razvoj agilnosti (hodanje preko prirodnih prepreka); vježbe snage, vježbe za koordinaciju pokreta, časovi plivanja na bazenima i dr.</w:t>
      </w:r>
    </w:p>
    <w:p w:rsidR="0051461E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Sect="00681FD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461E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Sect="009E00D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272415</wp:posOffset>
            </wp:positionV>
            <wp:extent cx="2676525" cy="1619250"/>
            <wp:effectExtent l="0" t="0" r="9525" b="0"/>
            <wp:wrapSquare wrapText="bothSides"/>
            <wp:docPr id="8827718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461E" w:rsidRDefault="0051461E" w:rsidP="00CF711C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Organizovane u skladu sa interesovanjima i uzrastom korisnika:</w:t>
      </w:r>
    </w:p>
    <w:p w:rsidR="0051461E" w:rsidRPr="00681FD2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Muzičke stolice, Pjevanje, Ples uz muziku, Notni zapis, Pisanje viol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81FD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81FD2">
        <w:rPr>
          <w:rFonts w:ascii="Times New Roman" w:hAnsi="Times New Roman" w:cs="Times New Roman"/>
          <w:sz w:val="24"/>
          <w:szCs w:val="24"/>
        </w:rPr>
        <w:t>kog ključa, Rad u kajdankama, Jedna melodija/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jedna boj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FD2">
        <w:rPr>
          <w:rFonts w:ascii="Times New Roman" w:hAnsi="Times New Roman" w:cs="Times New Roman"/>
          <w:sz w:val="24"/>
          <w:szCs w:val="24"/>
        </w:rPr>
        <w:t>gađanje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461E" w:rsidRDefault="0051461E" w:rsidP="00CF7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1461E" w:rsidSect="009638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461E" w:rsidRDefault="0051461E" w:rsidP="00CF711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Muzičke radionice</w:t>
      </w:r>
    </w:p>
    <w:p w:rsidR="0051461E" w:rsidRDefault="0051461E" w:rsidP="00CF71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461E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  <w:sectPr w:rsidR="0051461E" w:rsidSect="009638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461E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Rezultati postignuti  na nivou napretka d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 xml:space="preserve">ece korisnika: 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       -   10 učenika  je popravilo opšti školski uspjeh, smanjen broj negativnih oc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81FD2">
        <w:rPr>
          <w:rFonts w:ascii="Times New Roman" w:hAnsi="Times New Roman" w:cs="Times New Roman"/>
          <w:sz w:val="24"/>
          <w:szCs w:val="24"/>
        </w:rPr>
        <w:t>ena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       -   Smanjeno vrijeme provedeno na ulici i bez nadzora;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 xml:space="preserve">Korigovano asocijalno  ponašanje i uklapanje u grupu vršnjaka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Poboljšana  komunikacija u grupi vršnjaka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Usv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81FD2">
        <w:rPr>
          <w:rFonts w:ascii="Times New Roman" w:hAnsi="Times New Roman" w:cs="Times New Roman"/>
          <w:sz w:val="24"/>
          <w:szCs w:val="24"/>
        </w:rPr>
        <w:t>jene  radne  navike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81FD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Usvojene navike u domenu brige o zdravlju i  ličnoj higijeni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Razvijen timski duh, ojačana  empatij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81FD2">
        <w:rPr>
          <w:rFonts w:ascii="Times New Roman" w:hAnsi="Times New Roman" w:cs="Times New Roman"/>
          <w:sz w:val="24"/>
          <w:szCs w:val="24"/>
        </w:rPr>
        <w:t xml:space="preserve"> prema drugima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27 djece uključeno u vannastavne sportske aktivnosti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81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Socijalizacija kroz različite aktivnosti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1461E" w:rsidRPr="00972F30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Ojačani roditeljski kapaciteti kroz radionice sa roditeljima djece u riziku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72F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61E" w:rsidRPr="00681FD2" w:rsidRDefault="0051461E" w:rsidP="00CF71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FD2">
        <w:rPr>
          <w:rFonts w:ascii="Times New Roman" w:hAnsi="Times New Roman" w:cs="Times New Roman"/>
          <w:sz w:val="24"/>
          <w:szCs w:val="24"/>
        </w:rPr>
        <w:t>Započeta organska plastenička proizvodnja u dvorištu Dnevnog centra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461E" w:rsidRPr="00681FD2" w:rsidRDefault="0051461E" w:rsidP="00CF71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DE1" w:rsidRDefault="0051461E" w:rsidP="006F5DE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ab/>
        <w:t xml:space="preserve">     ZAKLjUČCI</w:t>
      </w:r>
      <w:r>
        <w:rPr>
          <w:rFonts w:ascii="Times New Roman" w:eastAsia="Times New Roman" w:hAnsi="Times New Roman" w:cs="Times New Roman"/>
          <w:sz w:val="24"/>
          <w:szCs w:val="20"/>
          <w:lang w:eastAsia="sr-Latn-CS"/>
        </w:rPr>
        <w:t>:</w:t>
      </w:r>
    </w:p>
    <w:p w:rsidR="006F5DE1" w:rsidRPr="006F5DE1" w:rsidRDefault="0051461E" w:rsidP="006F5DE1">
      <w:pPr>
        <w:pStyle w:val="ListParagraph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F5DE1">
        <w:rPr>
          <w:rFonts w:ascii="Times New Roman" w:eastAsia="Times New Roman" w:hAnsi="Times New Roman" w:cs="Times New Roman"/>
          <w:sz w:val="24"/>
          <w:szCs w:val="20"/>
          <w:lang w:eastAsia="sr-Latn-CS"/>
        </w:rPr>
        <w:t>Jačati kapacitete institucija za rad sa djecom sa problemima u ponašanju (edukacije stručnog kadra, uključivanje u rad većeg broja stručnjaka,  implementirati preventivne i druge programe u radu);</w:t>
      </w:r>
    </w:p>
    <w:p w:rsidR="0051461E" w:rsidRPr="00681FD2" w:rsidRDefault="0051461E" w:rsidP="00CF711C">
      <w:pPr>
        <w:pStyle w:val="ListParagraph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Raditi na uspostavljanju Sav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etovališta za porodicu i djecu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;</w:t>
      </w:r>
    </w:p>
    <w:p w:rsidR="0051461E" w:rsidRPr="00681FD2" w:rsidRDefault="0051461E" w:rsidP="00CF711C">
      <w:pPr>
        <w:pStyle w:val="ListParagraph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Nastaviti sa aktivnostima otvaranja Prihvatilišta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;</w:t>
      </w:r>
    </w:p>
    <w:p w:rsidR="0051461E" w:rsidRPr="00681FD2" w:rsidRDefault="0051461E" w:rsidP="00CF711C">
      <w:pPr>
        <w:pStyle w:val="ListParagraph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Jačati kapacitete Dnevnog centra za d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j</w:t>
      </w: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ecu u riziku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;</w:t>
      </w:r>
    </w:p>
    <w:p w:rsidR="0051461E" w:rsidRPr="00681FD2" w:rsidRDefault="0051461E" w:rsidP="00CF711C">
      <w:pPr>
        <w:pStyle w:val="ListParagraph"/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Nastaviti saradnju sa  institucijama, posebno sa osnovnim i srednjim školama na području Grada Bijeljina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51461E" w:rsidRPr="00681FD2" w:rsidRDefault="0051461E" w:rsidP="00CF711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b/>
          <w:sz w:val="24"/>
          <w:szCs w:val="20"/>
          <w:lang w:eastAsia="sr-Latn-CS"/>
        </w:rPr>
        <w:tab/>
      </w: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Bijeljina, jul  2024. godine                             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                                                                     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sr-Latn-CS"/>
        </w:rPr>
      </w:pP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681FD2">
        <w:rPr>
          <w:rFonts w:ascii="Times New Roman" w:eastAsia="Times New Roman" w:hAnsi="Times New Roman" w:cs="Times New Roman"/>
          <w:sz w:val="24"/>
          <w:szCs w:val="20"/>
          <w:lang w:eastAsia="sr-Latn-CS"/>
        </w:rPr>
        <w:t xml:space="preserve">                                                          </w:t>
      </w:r>
      <w:r w:rsidRPr="00681FD2">
        <w:rPr>
          <w:rFonts w:ascii="Times New Roman" w:eastAsia="Times New Roman" w:hAnsi="Times New Roman" w:cs="Times New Roman"/>
          <w:b/>
          <w:lang w:eastAsia="sr-Latn-CS"/>
        </w:rPr>
        <w:t>OBRAĐIVAČI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lang w:eastAsia="sr-Latn-CS"/>
        </w:rPr>
        <w:t xml:space="preserve">                                                               </w:t>
      </w: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>JU CENTAR  ZA SOCIJALNI RAD BIJELjINA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                                                                    POLICIJSKA UPRAVA BIJELjINA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                                                                    OKRUŽNO JAVNO TUŽILAŠTVO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BIJELjINA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                                                                    OSNOVNI SUD U BIJELjINI</w:t>
      </w:r>
    </w:p>
    <w:p w:rsidR="0051461E" w:rsidRPr="00681FD2" w:rsidRDefault="0051461E" w:rsidP="00CF711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                                                                         </w:t>
      </w:r>
    </w:p>
    <w:p w:rsidR="0051461E" w:rsidRPr="00681FD2" w:rsidRDefault="0051461E" w:rsidP="00CF711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</w:pPr>
      <w:r w:rsidRPr="00681FD2">
        <w:rPr>
          <w:rFonts w:ascii="Times New Roman" w:eastAsia="Times New Roman" w:hAnsi="Times New Roman" w:cs="Times New Roman"/>
          <w:b/>
          <w:sz w:val="20"/>
          <w:szCs w:val="20"/>
          <w:lang w:eastAsia="sr-Latn-CS"/>
        </w:rPr>
        <w:t xml:space="preserve"> </w:t>
      </w:r>
    </w:p>
    <w:p w:rsidR="0051461E" w:rsidRDefault="0051461E" w:rsidP="00CF711C">
      <w:pPr>
        <w:spacing w:line="240" w:lineRule="auto"/>
      </w:pPr>
    </w:p>
    <w:sectPr w:rsidR="0051461E" w:rsidSect="009E00D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C0" w:rsidRDefault="007463C0" w:rsidP="009645DC">
      <w:pPr>
        <w:spacing w:after="0" w:line="240" w:lineRule="auto"/>
      </w:pPr>
      <w:r>
        <w:separator/>
      </w:r>
    </w:p>
  </w:endnote>
  <w:endnote w:type="continuationSeparator" w:id="0">
    <w:p w:rsidR="007463C0" w:rsidRDefault="007463C0" w:rsidP="0096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900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461E" w:rsidRDefault="003C11A3">
        <w:pPr>
          <w:pStyle w:val="Footer"/>
          <w:jc w:val="right"/>
        </w:pPr>
        <w:r>
          <w:fldChar w:fldCharType="begin"/>
        </w:r>
        <w:r w:rsidR="0051461E">
          <w:instrText xml:space="preserve"> PAGE   \* MERGEFORMAT </w:instrText>
        </w:r>
        <w:r>
          <w:fldChar w:fldCharType="separate"/>
        </w:r>
        <w:r w:rsidR="0002461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1461E" w:rsidRDefault="00514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C0" w:rsidRDefault="007463C0" w:rsidP="009645DC">
      <w:pPr>
        <w:spacing w:after="0" w:line="240" w:lineRule="auto"/>
      </w:pPr>
      <w:r>
        <w:separator/>
      </w:r>
    </w:p>
  </w:footnote>
  <w:footnote w:type="continuationSeparator" w:id="0">
    <w:p w:rsidR="007463C0" w:rsidRDefault="007463C0" w:rsidP="00964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D2A"/>
    <w:multiLevelType w:val="hybridMultilevel"/>
    <w:tmpl w:val="65C6C95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85689"/>
    <w:multiLevelType w:val="hybridMultilevel"/>
    <w:tmpl w:val="0BD68F02"/>
    <w:lvl w:ilvl="0" w:tplc="7BC47F6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15C1C"/>
    <w:multiLevelType w:val="hybridMultilevel"/>
    <w:tmpl w:val="20501638"/>
    <w:lvl w:ilvl="0" w:tplc="2634FE52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E184A"/>
    <w:multiLevelType w:val="hybridMultilevel"/>
    <w:tmpl w:val="9B405386"/>
    <w:lvl w:ilvl="0" w:tplc="3738B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02060"/>
    <w:multiLevelType w:val="hybridMultilevel"/>
    <w:tmpl w:val="EFBEECD6"/>
    <w:lvl w:ilvl="0" w:tplc="1C6A7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B4E"/>
    <w:rsid w:val="000151D5"/>
    <w:rsid w:val="00015992"/>
    <w:rsid w:val="00024616"/>
    <w:rsid w:val="00026DDB"/>
    <w:rsid w:val="000573FB"/>
    <w:rsid w:val="000717B1"/>
    <w:rsid w:val="000842E6"/>
    <w:rsid w:val="000B497E"/>
    <w:rsid w:val="00115106"/>
    <w:rsid w:val="001376AE"/>
    <w:rsid w:val="00165810"/>
    <w:rsid w:val="001D2144"/>
    <w:rsid w:val="00215808"/>
    <w:rsid w:val="0022724E"/>
    <w:rsid w:val="0025309F"/>
    <w:rsid w:val="00257AB8"/>
    <w:rsid w:val="002A3BDD"/>
    <w:rsid w:val="002A7671"/>
    <w:rsid w:val="002B10E5"/>
    <w:rsid w:val="002B12C6"/>
    <w:rsid w:val="002B7CE6"/>
    <w:rsid w:val="00342D01"/>
    <w:rsid w:val="00356B4E"/>
    <w:rsid w:val="00380E3E"/>
    <w:rsid w:val="003C11A3"/>
    <w:rsid w:val="00422801"/>
    <w:rsid w:val="004339EC"/>
    <w:rsid w:val="00481E2E"/>
    <w:rsid w:val="00490BED"/>
    <w:rsid w:val="004B3ACF"/>
    <w:rsid w:val="0051461E"/>
    <w:rsid w:val="00563058"/>
    <w:rsid w:val="005725C9"/>
    <w:rsid w:val="005878C3"/>
    <w:rsid w:val="00594681"/>
    <w:rsid w:val="005A29FC"/>
    <w:rsid w:val="005B4D88"/>
    <w:rsid w:val="005C2AC3"/>
    <w:rsid w:val="00652A5A"/>
    <w:rsid w:val="00681FD2"/>
    <w:rsid w:val="00684C55"/>
    <w:rsid w:val="006D1D87"/>
    <w:rsid w:val="006E7C5D"/>
    <w:rsid w:val="006F5DE1"/>
    <w:rsid w:val="007463C0"/>
    <w:rsid w:val="0079395E"/>
    <w:rsid w:val="007A63E8"/>
    <w:rsid w:val="00816F68"/>
    <w:rsid w:val="00823576"/>
    <w:rsid w:val="00825CF9"/>
    <w:rsid w:val="00841A38"/>
    <w:rsid w:val="00884ADE"/>
    <w:rsid w:val="0089008D"/>
    <w:rsid w:val="008A6295"/>
    <w:rsid w:val="00947A58"/>
    <w:rsid w:val="00963853"/>
    <w:rsid w:val="009645DC"/>
    <w:rsid w:val="00972F30"/>
    <w:rsid w:val="009C33E0"/>
    <w:rsid w:val="009E00DF"/>
    <w:rsid w:val="009E2FF2"/>
    <w:rsid w:val="00A21679"/>
    <w:rsid w:val="00A80D01"/>
    <w:rsid w:val="00AA19F1"/>
    <w:rsid w:val="00AB76B4"/>
    <w:rsid w:val="00AC28FD"/>
    <w:rsid w:val="00AE7C1E"/>
    <w:rsid w:val="00BB1C9F"/>
    <w:rsid w:val="00BB3A91"/>
    <w:rsid w:val="00C85FE9"/>
    <w:rsid w:val="00C9023D"/>
    <w:rsid w:val="00CA6BA3"/>
    <w:rsid w:val="00CB0EF6"/>
    <w:rsid w:val="00CC2007"/>
    <w:rsid w:val="00CD6E1C"/>
    <w:rsid w:val="00CD7018"/>
    <w:rsid w:val="00D0521D"/>
    <w:rsid w:val="00D8041C"/>
    <w:rsid w:val="00DD5504"/>
    <w:rsid w:val="00E01AFD"/>
    <w:rsid w:val="00E14E44"/>
    <w:rsid w:val="00E66EDD"/>
    <w:rsid w:val="00E933B6"/>
    <w:rsid w:val="00EE09C3"/>
    <w:rsid w:val="00EE6D44"/>
    <w:rsid w:val="00EF21D7"/>
    <w:rsid w:val="00F9130F"/>
    <w:rsid w:val="00F9444F"/>
    <w:rsid w:val="00FD68CE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B4E"/>
    <w:pPr>
      <w:spacing w:line="254" w:lineRule="auto"/>
    </w:pPr>
    <w:rPr>
      <w:kern w:val="0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356B4E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NoSpacing">
    <w:name w:val="No Spacing"/>
    <w:link w:val="NoSpacingChar"/>
    <w:uiPriority w:val="1"/>
    <w:qFormat/>
    <w:rsid w:val="00356B4E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356B4E"/>
    <w:pPr>
      <w:ind w:left="720"/>
      <w:contextualSpacing/>
    </w:pPr>
  </w:style>
  <w:style w:type="table" w:styleId="TableGrid">
    <w:name w:val="Table Grid"/>
    <w:basedOn w:val="TableNormal"/>
    <w:uiPriority w:val="59"/>
    <w:rsid w:val="00356B4E"/>
    <w:pPr>
      <w:spacing w:after="0" w:line="240" w:lineRule="auto"/>
    </w:pPr>
    <w:rPr>
      <w:kern w:val="0"/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5DC"/>
    <w:rPr>
      <w:kern w:val="0"/>
      <w:lang w:val="sr-Cyrl-BA"/>
    </w:rPr>
  </w:style>
  <w:style w:type="paragraph" w:styleId="Footer">
    <w:name w:val="footer"/>
    <w:basedOn w:val="Normal"/>
    <w:link w:val="FooterChar"/>
    <w:uiPriority w:val="99"/>
    <w:unhideWhenUsed/>
    <w:rsid w:val="0096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5DC"/>
    <w:rPr>
      <w:kern w:val="0"/>
      <w:lang w:val="sr-Cyrl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8063-627C-4122-B6EE-30E6443C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mira.ristic</cp:lastModifiedBy>
  <cp:revision>2</cp:revision>
  <cp:lastPrinted>2024-07-16T06:07:00Z</cp:lastPrinted>
  <dcterms:created xsi:type="dcterms:W3CDTF">2025-02-17T12:43:00Z</dcterms:created>
  <dcterms:modified xsi:type="dcterms:W3CDTF">2025-02-17T12:43:00Z</dcterms:modified>
</cp:coreProperties>
</file>