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766" w:rsidRDefault="009F1766" w:rsidP="009F1766">
      <w:pPr>
        <w:spacing w:after="120" w:line="240" w:lineRule="auto"/>
        <w:jc w:val="center"/>
        <w:rPr>
          <w:i/>
          <w:iCs/>
        </w:rPr>
      </w:pPr>
      <w:r>
        <w:rPr>
          <w:i/>
          <w:noProof/>
        </w:rPr>
        <w:drawing>
          <wp:inline distT="0" distB="0" distL="0" distR="0">
            <wp:extent cx="476885" cy="548640"/>
            <wp:effectExtent l="19050" t="0" r="0" b="0"/>
            <wp:docPr id="1" name="Picture 1" descr="Grb_Veliki_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Veliki_Temp"/>
                    <pic:cNvPicPr>
                      <a:picLocks noChangeAspect="1" noChangeArrowheads="1"/>
                    </pic:cNvPicPr>
                  </pic:nvPicPr>
                  <pic:blipFill>
                    <a:blip r:embed="rId6" cstate="print"/>
                    <a:srcRect/>
                    <a:stretch>
                      <a:fillRect/>
                    </a:stretch>
                  </pic:blipFill>
                  <pic:spPr bwMode="auto">
                    <a:xfrm>
                      <a:off x="0" y="0"/>
                      <a:ext cx="476885" cy="548640"/>
                    </a:xfrm>
                    <a:prstGeom prst="rect">
                      <a:avLst/>
                    </a:prstGeom>
                    <a:noFill/>
                    <a:ln w="9525">
                      <a:noFill/>
                      <a:miter lim="800000"/>
                      <a:headEnd/>
                      <a:tailEnd/>
                    </a:ln>
                  </pic:spPr>
                </pic:pic>
              </a:graphicData>
            </a:graphic>
          </wp:inline>
        </w:drawing>
      </w:r>
    </w:p>
    <w:p w:rsidR="009F1766" w:rsidRDefault="009F1766" w:rsidP="009F1766">
      <w:pPr>
        <w:pBdr>
          <w:bottom w:val="single" w:sz="4" w:space="1" w:color="auto"/>
        </w:pBdr>
        <w:tabs>
          <w:tab w:val="left" w:pos="7410"/>
        </w:tabs>
        <w:spacing w:before="60" w:after="60" w:line="240" w:lineRule="auto"/>
        <w:jc w:val="center"/>
        <w:rPr>
          <w:rFonts w:ascii="Times New Roman" w:hAnsi="Times New Roman"/>
          <w:b/>
          <w:bCs/>
        </w:rPr>
      </w:pPr>
      <w:r w:rsidRPr="0017390E">
        <w:rPr>
          <w:rFonts w:ascii="Times New Roman" w:hAnsi="Times New Roman"/>
          <w:b/>
          <w:bCs/>
          <w:lang w:val="sr-Cyrl-BA"/>
        </w:rPr>
        <w:t>РЕПУБЛИКА СРПСКА</w:t>
      </w:r>
    </w:p>
    <w:p w:rsidR="009F1766" w:rsidRPr="00246921" w:rsidRDefault="009F1766" w:rsidP="009F1766">
      <w:pPr>
        <w:pBdr>
          <w:bottom w:val="single" w:sz="4" w:space="1" w:color="auto"/>
        </w:pBdr>
        <w:tabs>
          <w:tab w:val="left" w:pos="7410"/>
        </w:tabs>
        <w:spacing w:before="60" w:after="60" w:line="240" w:lineRule="auto"/>
        <w:jc w:val="center"/>
        <w:rPr>
          <w:rFonts w:ascii="Times New Roman" w:hAnsi="Times New Roman"/>
          <w:b/>
          <w:bCs/>
        </w:rPr>
      </w:pPr>
      <w:r>
        <w:rPr>
          <w:rFonts w:ascii="Times New Roman" w:hAnsi="Times New Roman"/>
          <w:b/>
          <w:bCs/>
        </w:rPr>
        <w:t>ГРАД БИЈЕЉИНА</w:t>
      </w:r>
    </w:p>
    <w:p w:rsidR="009F1766" w:rsidRPr="0017390E" w:rsidRDefault="009F1766" w:rsidP="009F1766">
      <w:pPr>
        <w:pBdr>
          <w:bottom w:val="single" w:sz="4" w:space="1" w:color="auto"/>
        </w:pBdr>
        <w:tabs>
          <w:tab w:val="left" w:pos="7410"/>
        </w:tabs>
        <w:spacing w:before="60" w:after="60" w:line="240" w:lineRule="auto"/>
        <w:jc w:val="center"/>
        <w:rPr>
          <w:rFonts w:ascii="Times New Roman" w:hAnsi="Times New Roman"/>
          <w:b/>
          <w:bCs/>
          <w:lang w:val="sr-Latn-CS"/>
        </w:rPr>
      </w:pPr>
      <w:r w:rsidRPr="0017390E">
        <w:rPr>
          <w:rFonts w:ascii="Times New Roman" w:hAnsi="Times New Roman"/>
          <w:b/>
          <w:bCs/>
          <w:lang w:val="sr-Cyrl-BA"/>
        </w:rPr>
        <w:t xml:space="preserve">ГРАДОНАЧЕЛНИК </w:t>
      </w:r>
    </w:p>
    <w:p w:rsidR="009F1766" w:rsidRPr="0017390E" w:rsidRDefault="009F1766" w:rsidP="009F1766">
      <w:pPr>
        <w:jc w:val="right"/>
        <w:rPr>
          <w:rFonts w:ascii="Times New Roman" w:hAnsi="Times New Roman"/>
          <w:iCs/>
          <w:color w:val="A6A6A6"/>
        </w:rPr>
      </w:pPr>
      <w:r w:rsidRPr="0017390E">
        <w:rPr>
          <w:rFonts w:ascii="Times New Roman" w:hAnsi="Times New Roman"/>
          <w:iCs/>
          <w:color w:val="A6A6A6"/>
          <w:lang w:val="sr-Cyrl-CS"/>
        </w:rPr>
        <w:t>Трг</w:t>
      </w:r>
      <w:r w:rsidRPr="0017390E">
        <w:rPr>
          <w:rFonts w:ascii="Times New Roman" w:hAnsi="Times New Roman"/>
          <w:iCs/>
          <w:color w:val="A6A6A6"/>
          <w:lang w:val="sr-Latn-CS"/>
        </w:rPr>
        <w:t xml:space="preserve"> </w:t>
      </w:r>
      <w:r w:rsidRPr="0017390E">
        <w:rPr>
          <w:rFonts w:ascii="Times New Roman" w:hAnsi="Times New Roman"/>
          <w:iCs/>
          <w:color w:val="A6A6A6"/>
          <w:lang w:val="sr-Cyrl-CS"/>
        </w:rPr>
        <w:t>Краља</w:t>
      </w:r>
      <w:r w:rsidRPr="0017390E">
        <w:rPr>
          <w:rFonts w:ascii="Times New Roman" w:hAnsi="Times New Roman"/>
          <w:iCs/>
          <w:color w:val="A6A6A6"/>
          <w:lang w:val="sr-Latn-CS"/>
        </w:rPr>
        <w:t xml:space="preserve"> </w:t>
      </w:r>
      <w:r w:rsidRPr="0017390E">
        <w:rPr>
          <w:rFonts w:ascii="Times New Roman" w:hAnsi="Times New Roman"/>
          <w:iCs/>
          <w:color w:val="A6A6A6"/>
          <w:lang w:val="sr-Cyrl-CS"/>
        </w:rPr>
        <w:t>Петра</w:t>
      </w:r>
      <w:r w:rsidRPr="0017390E">
        <w:rPr>
          <w:rFonts w:ascii="Times New Roman" w:hAnsi="Times New Roman"/>
          <w:iCs/>
          <w:color w:val="A6A6A6"/>
          <w:lang w:val="sr-Latn-CS"/>
        </w:rPr>
        <w:t xml:space="preserve"> I</w:t>
      </w:r>
      <w:r w:rsidRPr="0017390E">
        <w:rPr>
          <w:rFonts w:ascii="Times New Roman" w:hAnsi="Times New Roman"/>
          <w:iCs/>
          <w:color w:val="A6A6A6"/>
          <w:lang w:val="sr-Cyrl-BA"/>
        </w:rPr>
        <w:t xml:space="preserve"> К</w:t>
      </w:r>
      <w:r w:rsidRPr="0017390E">
        <w:rPr>
          <w:rFonts w:ascii="Times New Roman" w:hAnsi="Times New Roman"/>
          <w:iCs/>
          <w:color w:val="A6A6A6"/>
          <w:lang w:val="sr-Cyrl-CS"/>
        </w:rPr>
        <w:t>арађорђевића</w:t>
      </w:r>
      <w:r w:rsidRPr="0017390E">
        <w:rPr>
          <w:rFonts w:ascii="Times New Roman" w:hAnsi="Times New Roman"/>
          <w:iCs/>
          <w:color w:val="A6A6A6"/>
          <w:lang w:val="sr-Latn-CS"/>
        </w:rPr>
        <w:t xml:space="preserve"> </w:t>
      </w:r>
      <w:r w:rsidRPr="0017390E">
        <w:rPr>
          <w:rFonts w:ascii="Times New Roman" w:hAnsi="Times New Roman"/>
          <w:iCs/>
          <w:color w:val="A6A6A6"/>
          <w:lang w:val="sr-Cyrl-CS"/>
        </w:rPr>
        <w:t>бр. 1.</w:t>
      </w:r>
      <w:r w:rsidRPr="0017390E">
        <w:rPr>
          <w:rFonts w:ascii="Times New Roman" w:hAnsi="Times New Roman"/>
          <w:iCs/>
          <w:color w:val="A6A6A6"/>
        </w:rPr>
        <w:t xml:space="preserve">Тел. +387 55 </w:t>
      </w:r>
      <w:r>
        <w:rPr>
          <w:rFonts w:ascii="Times New Roman" w:hAnsi="Times New Roman"/>
          <w:iCs/>
          <w:color w:val="A6A6A6"/>
        </w:rPr>
        <w:t>201-168</w:t>
      </w:r>
      <w:r w:rsidRPr="0017390E">
        <w:rPr>
          <w:rFonts w:ascii="Times New Roman" w:hAnsi="Times New Roman"/>
          <w:iCs/>
          <w:color w:val="A6A6A6"/>
        </w:rPr>
        <w:t xml:space="preserve">, </w:t>
      </w:r>
      <w:hyperlink r:id="rId7" w:history="1">
        <w:r w:rsidRPr="0017390E">
          <w:rPr>
            <w:rStyle w:val="Hyperlink"/>
            <w:rFonts w:ascii="Times New Roman" w:hAnsi="Times New Roman"/>
            <w:iCs/>
          </w:rPr>
          <w:t>www.</w:t>
        </w:r>
        <w:r w:rsidRPr="0017390E">
          <w:rPr>
            <w:rStyle w:val="Hyperlink"/>
            <w:rFonts w:ascii="Times New Roman" w:hAnsi="Times New Roman"/>
            <w:iCs/>
            <w:lang w:val="sr-Cyrl-BA"/>
          </w:rPr>
          <w:t>gradbijeljina.org</w:t>
        </w:r>
      </w:hyperlink>
    </w:p>
    <w:p w:rsidR="009F1766" w:rsidRPr="0017390E" w:rsidRDefault="009F1766" w:rsidP="009F1766">
      <w:pPr>
        <w:tabs>
          <w:tab w:val="left" w:pos="7410"/>
        </w:tabs>
        <w:rPr>
          <w:rFonts w:ascii="Times New Roman" w:hAnsi="Times New Roman"/>
          <w:b/>
          <w:bCs/>
          <w:color w:val="006699"/>
          <w:lang w:val="sr-Latn-CS"/>
        </w:rPr>
      </w:pPr>
      <w:r w:rsidRPr="0017390E">
        <w:rPr>
          <w:rFonts w:ascii="Times New Roman" w:hAnsi="Times New Roman"/>
          <w:b/>
          <w:bCs/>
          <w:color w:val="006699"/>
          <w:lang w:val="sr-Latn-CS"/>
        </w:rPr>
        <w:tab/>
      </w:r>
    </w:p>
    <w:p w:rsidR="009F1766" w:rsidRPr="0017390E" w:rsidRDefault="009F1766" w:rsidP="009F1766">
      <w:pPr>
        <w:tabs>
          <w:tab w:val="left" w:pos="5049"/>
        </w:tabs>
        <w:rPr>
          <w:rFonts w:ascii="Times New Roman" w:hAnsi="Times New Roman"/>
          <w:lang w:val="sr-Cyrl-CS"/>
        </w:rPr>
      </w:pPr>
    </w:p>
    <w:p w:rsidR="009F1766" w:rsidRPr="0017390E" w:rsidRDefault="009F1766" w:rsidP="009F1766">
      <w:pPr>
        <w:tabs>
          <w:tab w:val="left" w:pos="5049"/>
        </w:tabs>
        <w:rPr>
          <w:rFonts w:ascii="Times New Roman" w:hAnsi="Times New Roman"/>
          <w:lang w:val="sr-Cyrl-CS"/>
        </w:rPr>
      </w:pPr>
    </w:p>
    <w:p w:rsidR="009F1766" w:rsidRPr="0017390E" w:rsidRDefault="009F1766" w:rsidP="009F1766">
      <w:pPr>
        <w:tabs>
          <w:tab w:val="left" w:pos="5049"/>
        </w:tabs>
        <w:rPr>
          <w:rFonts w:ascii="Times New Roman" w:hAnsi="Times New Roman"/>
          <w:lang w:val="sr-Cyrl-CS"/>
        </w:rPr>
      </w:pPr>
    </w:p>
    <w:p w:rsidR="009F1766" w:rsidRPr="0017390E" w:rsidRDefault="009F1766" w:rsidP="009F1766">
      <w:pPr>
        <w:tabs>
          <w:tab w:val="left" w:pos="5049"/>
        </w:tabs>
        <w:rPr>
          <w:rFonts w:ascii="Times New Roman" w:hAnsi="Times New Roman"/>
          <w:lang w:val="sr-Cyrl-CS"/>
        </w:rPr>
      </w:pPr>
    </w:p>
    <w:p w:rsidR="009F1766" w:rsidRPr="0017390E" w:rsidRDefault="009F1766" w:rsidP="009F1766">
      <w:pPr>
        <w:tabs>
          <w:tab w:val="left" w:pos="5049"/>
        </w:tabs>
        <w:rPr>
          <w:rFonts w:ascii="Times New Roman" w:hAnsi="Times New Roman"/>
          <w:lang w:val="sr-Cyrl-CS"/>
        </w:rPr>
      </w:pPr>
    </w:p>
    <w:p w:rsidR="009F1766" w:rsidRPr="0049763C" w:rsidRDefault="009F1766" w:rsidP="009F1766">
      <w:pPr>
        <w:spacing w:line="360" w:lineRule="auto"/>
        <w:jc w:val="center"/>
        <w:rPr>
          <w:rFonts w:ascii="Times New Roman" w:hAnsi="Times New Roman"/>
          <w:b/>
          <w:bCs/>
        </w:rPr>
      </w:pPr>
      <w:r>
        <w:rPr>
          <w:rFonts w:ascii="Times New Roman" w:hAnsi="Times New Roman"/>
          <w:b/>
          <w:bCs/>
        </w:rPr>
        <w:t>ИНФОРМАЦИЈА</w:t>
      </w:r>
    </w:p>
    <w:p w:rsidR="009F1766" w:rsidRPr="00C21B58" w:rsidRDefault="009F1766" w:rsidP="009F1766">
      <w:pPr>
        <w:spacing w:line="360" w:lineRule="auto"/>
        <w:jc w:val="center"/>
        <w:rPr>
          <w:rFonts w:ascii="Times New Roman" w:hAnsi="Times New Roman"/>
          <w:i/>
          <w:sz w:val="24"/>
          <w:szCs w:val="24"/>
        </w:rPr>
      </w:pPr>
      <w:r>
        <w:rPr>
          <w:rFonts w:ascii="Times New Roman" w:hAnsi="Times New Roman"/>
          <w:bCs/>
          <w:i/>
          <w:sz w:val="24"/>
          <w:szCs w:val="24"/>
        </w:rPr>
        <w:t xml:space="preserve">о предузетим мјерама и активностима из Акционог плана </w:t>
      </w:r>
      <w:r w:rsidRPr="00C21B58">
        <w:rPr>
          <w:rFonts w:ascii="Times New Roman" w:hAnsi="Times New Roman"/>
          <w:bCs/>
          <w:i/>
          <w:sz w:val="24"/>
          <w:szCs w:val="24"/>
        </w:rPr>
        <w:t xml:space="preserve">за отклањање неправилности и недостатака по Извјештају Главне службе за ревизију јавног сектора Републике Српске број </w:t>
      </w:r>
      <w:r w:rsidRPr="00C21B58">
        <w:rPr>
          <w:rFonts w:ascii="Times New Roman" w:hAnsi="Times New Roman"/>
          <w:i/>
          <w:sz w:val="24"/>
          <w:szCs w:val="24"/>
        </w:rPr>
        <w:t xml:space="preserve">РВ066-21 од 29.12.2021. </w:t>
      </w:r>
      <w:proofErr w:type="gramStart"/>
      <w:r w:rsidRPr="00C21B58">
        <w:rPr>
          <w:rFonts w:ascii="Times New Roman" w:hAnsi="Times New Roman"/>
          <w:i/>
          <w:sz w:val="24"/>
          <w:szCs w:val="24"/>
        </w:rPr>
        <w:t>године</w:t>
      </w:r>
      <w:proofErr w:type="gramEnd"/>
    </w:p>
    <w:p w:rsidR="009F1766" w:rsidRPr="0017390E" w:rsidRDefault="009F1766" w:rsidP="009F1766">
      <w:pPr>
        <w:spacing w:line="360" w:lineRule="auto"/>
        <w:jc w:val="center"/>
        <w:rPr>
          <w:rFonts w:ascii="Times New Roman" w:hAnsi="Times New Roman"/>
        </w:rPr>
      </w:pPr>
    </w:p>
    <w:p w:rsidR="009F1766" w:rsidRPr="0017390E" w:rsidRDefault="009F1766" w:rsidP="009F1766">
      <w:pPr>
        <w:spacing w:line="360" w:lineRule="auto"/>
        <w:jc w:val="center"/>
        <w:rPr>
          <w:rFonts w:ascii="Times New Roman" w:hAnsi="Times New Roman"/>
        </w:rPr>
      </w:pPr>
    </w:p>
    <w:p w:rsidR="009F1766" w:rsidRPr="0017390E" w:rsidRDefault="009F1766" w:rsidP="009F1766">
      <w:pPr>
        <w:spacing w:line="360" w:lineRule="auto"/>
        <w:jc w:val="center"/>
        <w:rPr>
          <w:rFonts w:ascii="Times New Roman" w:hAnsi="Times New Roman"/>
        </w:rPr>
      </w:pPr>
    </w:p>
    <w:p w:rsidR="009F1766" w:rsidRPr="0017390E" w:rsidRDefault="009F1766" w:rsidP="009F1766">
      <w:pPr>
        <w:spacing w:line="360" w:lineRule="auto"/>
        <w:rPr>
          <w:rFonts w:ascii="Times New Roman" w:hAnsi="Times New Roman"/>
        </w:rPr>
      </w:pPr>
    </w:p>
    <w:p w:rsidR="009F1766" w:rsidRDefault="009F1766" w:rsidP="009F1766">
      <w:pPr>
        <w:spacing w:line="360" w:lineRule="auto"/>
        <w:jc w:val="center"/>
        <w:rPr>
          <w:rFonts w:ascii="Times New Roman" w:hAnsi="Times New Roman"/>
          <w:b/>
          <w:i/>
          <w:sz w:val="24"/>
          <w:szCs w:val="24"/>
        </w:rPr>
      </w:pPr>
    </w:p>
    <w:p w:rsidR="009F1766" w:rsidRPr="00C21B58" w:rsidRDefault="009F1766" w:rsidP="009F1766">
      <w:pPr>
        <w:spacing w:line="360" w:lineRule="auto"/>
        <w:jc w:val="center"/>
        <w:rPr>
          <w:rFonts w:ascii="Times New Roman" w:hAnsi="Times New Roman"/>
          <w:b/>
          <w:i/>
          <w:sz w:val="24"/>
          <w:szCs w:val="24"/>
        </w:rPr>
      </w:pPr>
    </w:p>
    <w:p w:rsidR="009F1766" w:rsidRPr="00C21B58" w:rsidRDefault="009F1766" w:rsidP="009F1766">
      <w:pPr>
        <w:spacing w:line="360" w:lineRule="auto"/>
        <w:jc w:val="center"/>
        <w:rPr>
          <w:rFonts w:ascii="Times New Roman" w:hAnsi="Times New Roman"/>
          <w:b/>
          <w:bCs/>
          <w:i/>
          <w:sz w:val="24"/>
          <w:szCs w:val="24"/>
        </w:rPr>
      </w:pPr>
      <w:proofErr w:type="gramStart"/>
      <w:r w:rsidRPr="00C21B58">
        <w:rPr>
          <w:rFonts w:ascii="Times New Roman" w:hAnsi="Times New Roman"/>
          <w:b/>
          <w:i/>
          <w:sz w:val="24"/>
          <w:szCs w:val="24"/>
        </w:rPr>
        <w:t xml:space="preserve">Бијељина, </w:t>
      </w:r>
      <w:r>
        <w:rPr>
          <w:rFonts w:ascii="Times New Roman" w:hAnsi="Times New Roman"/>
          <w:b/>
          <w:i/>
          <w:sz w:val="24"/>
          <w:szCs w:val="24"/>
        </w:rPr>
        <w:t>јануар</w:t>
      </w:r>
      <w:r w:rsidRPr="00C21B58">
        <w:rPr>
          <w:rFonts w:ascii="Times New Roman" w:hAnsi="Times New Roman"/>
          <w:b/>
          <w:i/>
          <w:sz w:val="24"/>
          <w:szCs w:val="24"/>
        </w:rPr>
        <w:t xml:space="preserve"> 202</w:t>
      </w:r>
      <w:r>
        <w:rPr>
          <w:rFonts w:ascii="Times New Roman" w:hAnsi="Times New Roman"/>
          <w:b/>
          <w:i/>
          <w:sz w:val="24"/>
          <w:szCs w:val="24"/>
        </w:rPr>
        <w:t>3</w:t>
      </w:r>
      <w:r w:rsidRPr="00C21B58">
        <w:rPr>
          <w:rFonts w:ascii="Times New Roman" w:hAnsi="Times New Roman"/>
          <w:b/>
          <w:i/>
          <w:sz w:val="24"/>
          <w:szCs w:val="24"/>
        </w:rPr>
        <w:t>.</w:t>
      </w:r>
      <w:proofErr w:type="gramEnd"/>
      <w:r w:rsidRPr="00C21B58">
        <w:rPr>
          <w:rFonts w:ascii="Times New Roman" w:hAnsi="Times New Roman"/>
          <w:b/>
          <w:i/>
          <w:sz w:val="24"/>
          <w:szCs w:val="24"/>
        </w:rPr>
        <w:t xml:space="preserve"> </w:t>
      </w:r>
      <w:r w:rsidRPr="00C21B58">
        <w:rPr>
          <w:rFonts w:ascii="Times New Roman" w:hAnsi="Times New Roman"/>
          <w:b/>
          <w:i/>
          <w:sz w:val="24"/>
          <w:szCs w:val="24"/>
          <w:lang w:val="sr-Cyrl-BA"/>
        </w:rPr>
        <w:t>г</w:t>
      </w:r>
      <w:r w:rsidRPr="00C21B58">
        <w:rPr>
          <w:rFonts w:ascii="Times New Roman" w:hAnsi="Times New Roman"/>
          <w:b/>
          <w:i/>
          <w:sz w:val="24"/>
          <w:szCs w:val="24"/>
        </w:rPr>
        <w:t>один</w:t>
      </w:r>
      <w:r w:rsidRPr="00C21B58">
        <w:rPr>
          <w:rFonts w:ascii="Times New Roman" w:hAnsi="Times New Roman"/>
          <w:b/>
          <w:i/>
          <w:sz w:val="24"/>
          <w:szCs w:val="24"/>
          <w:lang w:val="sr-Latn-CS"/>
        </w:rPr>
        <w:t>е</w:t>
      </w:r>
    </w:p>
    <w:p w:rsidR="009F1766" w:rsidRPr="0017390E" w:rsidRDefault="009F1766" w:rsidP="009F1766">
      <w:pPr>
        <w:ind w:firstLine="720"/>
        <w:rPr>
          <w:rFonts w:ascii="Times New Roman" w:hAnsi="Times New Roman"/>
          <w:lang w:val="sr-Cyrl-BA"/>
        </w:rPr>
      </w:pPr>
    </w:p>
    <w:p w:rsidR="009F1766" w:rsidRPr="0017390E" w:rsidRDefault="009F1766" w:rsidP="009F1766">
      <w:pPr>
        <w:ind w:firstLine="720"/>
        <w:rPr>
          <w:rFonts w:ascii="Times New Roman" w:hAnsi="Times New Roman"/>
          <w:lang w:val="sr-Cyrl-BA"/>
        </w:rPr>
      </w:pPr>
    </w:p>
    <w:p w:rsidR="009F1766" w:rsidRDefault="009F1766" w:rsidP="009F1766">
      <w:pPr>
        <w:rPr>
          <w:rFonts w:ascii="Times New Roman" w:hAnsi="Times New Roman"/>
        </w:rPr>
      </w:pPr>
    </w:p>
    <w:p w:rsidR="009F1766" w:rsidRPr="00C21B58" w:rsidRDefault="009F1766" w:rsidP="009F1766">
      <w:pPr>
        <w:pStyle w:val="Heading1"/>
        <w:rPr>
          <w:rFonts w:ascii="Times New Roman" w:hAnsi="Times New Roman"/>
          <w:color w:val="auto"/>
          <w:sz w:val="22"/>
          <w:szCs w:val="22"/>
        </w:rPr>
      </w:pPr>
      <w:r w:rsidRPr="00C21B58">
        <w:rPr>
          <w:rFonts w:ascii="Times New Roman" w:hAnsi="Times New Roman"/>
          <w:color w:val="auto"/>
          <w:sz w:val="22"/>
          <w:szCs w:val="22"/>
        </w:rPr>
        <w:lastRenderedPageBreak/>
        <w:t>I – УВОД</w:t>
      </w:r>
    </w:p>
    <w:p w:rsidR="009F1766" w:rsidRPr="0017390E" w:rsidRDefault="009F1766" w:rsidP="009F1766">
      <w:pPr>
        <w:rPr>
          <w:rFonts w:ascii="Times New Roman" w:hAnsi="Times New Roman"/>
        </w:rPr>
      </w:pPr>
    </w:p>
    <w:p w:rsidR="009F1766" w:rsidRDefault="009F1766" w:rsidP="009F1766">
      <w:pPr>
        <w:spacing w:after="0"/>
        <w:jc w:val="both"/>
        <w:rPr>
          <w:rFonts w:ascii="Times New Roman" w:hAnsi="Times New Roman"/>
          <w:sz w:val="24"/>
          <w:szCs w:val="24"/>
        </w:rPr>
      </w:pPr>
      <w:r>
        <w:rPr>
          <w:rFonts w:ascii="Times New Roman" w:hAnsi="Times New Roman"/>
          <w:sz w:val="24"/>
          <w:szCs w:val="24"/>
        </w:rPr>
        <w:t xml:space="preserve">Током 2021. године Главна служба за ревизију јавног сектора Републике Српске, извршила је ревизију финансијских извјештаја Града Бијељина за 2020. годину и сачинила Извјештај број РВ066-21 од 29.12.2021. године. </w:t>
      </w:r>
    </w:p>
    <w:p w:rsidR="009F1766" w:rsidRDefault="009F1766" w:rsidP="009F1766">
      <w:pPr>
        <w:spacing w:before="120" w:after="120"/>
        <w:jc w:val="both"/>
        <w:rPr>
          <w:rFonts w:ascii="Times New Roman" w:hAnsi="Times New Roman"/>
          <w:sz w:val="24"/>
          <w:szCs w:val="24"/>
        </w:rPr>
      </w:pPr>
      <w:r>
        <w:rPr>
          <w:rFonts w:ascii="Times New Roman" w:hAnsi="Times New Roman"/>
          <w:sz w:val="24"/>
          <w:szCs w:val="24"/>
        </w:rPr>
        <w:t xml:space="preserve">На основу овог Извјештаја, Град Бијељина је утврдио Акциони плана број 02-014-1-266/22 од 09.02.2022. године, за отклањање неправилности и недостатака по Извјештају Главне службе за ревизију јавног сектора Републике Српске. Овај Акциони план усвојен је Закључком број: 01-013-11-14/22 на сједници Скупштине Града одржаној 23.02.2022. године и достављен Главној служби за ревизију јавног сектора Републике Српске 25.02.2022. године. </w:t>
      </w:r>
    </w:p>
    <w:p w:rsidR="009F1766" w:rsidRDefault="009F1766" w:rsidP="009F1766">
      <w:pPr>
        <w:spacing w:after="120"/>
        <w:jc w:val="both"/>
        <w:rPr>
          <w:rFonts w:ascii="Times New Roman" w:hAnsi="Times New Roman"/>
          <w:sz w:val="24"/>
          <w:szCs w:val="24"/>
        </w:rPr>
      </w:pPr>
      <w:r>
        <w:rPr>
          <w:rFonts w:ascii="Times New Roman" w:hAnsi="Times New Roman"/>
          <w:sz w:val="24"/>
          <w:szCs w:val="24"/>
        </w:rPr>
        <w:t>Акциони план сачињавају два поглавља и то:</w:t>
      </w:r>
    </w:p>
    <w:p w:rsidR="009F1766" w:rsidRDefault="009F1766" w:rsidP="009F1766">
      <w:pPr>
        <w:spacing w:after="0"/>
        <w:jc w:val="both"/>
        <w:rPr>
          <w:rFonts w:ascii="Times New Roman" w:hAnsi="Times New Roman"/>
          <w:sz w:val="24"/>
          <w:szCs w:val="24"/>
        </w:rPr>
      </w:pPr>
      <w:r>
        <w:rPr>
          <w:rFonts w:ascii="Times New Roman" w:hAnsi="Times New Roman"/>
          <w:sz w:val="24"/>
          <w:szCs w:val="24"/>
        </w:rPr>
        <w:sym w:font="Symbol" w:char="F02D"/>
      </w:r>
      <w:r>
        <w:rPr>
          <w:rFonts w:ascii="Times New Roman" w:hAnsi="Times New Roman"/>
          <w:sz w:val="24"/>
          <w:szCs w:val="24"/>
        </w:rPr>
        <w:t xml:space="preserve"> Препоруке везане за финансијске извјештаје (14 препорука) и </w:t>
      </w:r>
    </w:p>
    <w:p w:rsidR="009F1766" w:rsidRDefault="009F1766" w:rsidP="009F1766">
      <w:pPr>
        <w:spacing w:after="0"/>
        <w:jc w:val="both"/>
        <w:rPr>
          <w:rFonts w:ascii="Times New Roman" w:hAnsi="Times New Roman"/>
          <w:sz w:val="24"/>
          <w:szCs w:val="24"/>
        </w:rPr>
      </w:pPr>
      <w:r>
        <w:rPr>
          <w:rFonts w:ascii="Times New Roman" w:hAnsi="Times New Roman"/>
          <w:sz w:val="24"/>
          <w:szCs w:val="24"/>
        </w:rPr>
        <w:sym w:font="Symbol" w:char="F02D"/>
      </w:r>
      <w:r>
        <w:rPr>
          <w:rFonts w:ascii="Times New Roman" w:hAnsi="Times New Roman"/>
          <w:sz w:val="24"/>
          <w:szCs w:val="24"/>
        </w:rPr>
        <w:t xml:space="preserve"> </w:t>
      </w:r>
      <w:proofErr w:type="gramStart"/>
      <w:r>
        <w:rPr>
          <w:rFonts w:ascii="Times New Roman" w:hAnsi="Times New Roman"/>
          <w:sz w:val="24"/>
          <w:szCs w:val="24"/>
        </w:rPr>
        <w:t>Препоруке везане за усклађеност (13 препорука)</w:t>
      </w:r>
      <w:r w:rsidR="00AB4105">
        <w:rPr>
          <w:rFonts w:ascii="Times New Roman" w:hAnsi="Times New Roman"/>
          <w:sz w:val="24"/>
          <w:szCs w:val="24"/>
        </w:rPr>
        <w:t>.</w:t>
      </w:r>
      <w:proofErr w:type="gramEnd"/>
    </w:p>
    <w:p w:rsidR="00AB4105" w:rsidRDefault="00AB4105" w:rsidP="009F1766">
      <w:pPr>
        <w:spacing w:after="0"/>
        <w:jc w:val="both"/>
        <w:rPr>
          <w:rFonts w:ascii="Times New Roman" w:hAnsi="Times New Roman"/>
          <w:sz w:val="24"/>
          <w:szCs w:val="24"/>
          <w:lang/>
        </w:rPr>
      </w:pPr>
    </w:p>
    <w:p w:rsidR="00AB4105" w:rsidRDefault="00645B3D" w:rsidP="009F1766">
      <w:pPr>
        <w:spacing w:after="0"/>
        <w:jc w:val="both"/>
        <w:rPr>
          <w:rFonts w:ascii="Times New Roman" w:hAnsi="Times New Roman"/>
          <w:sz w:val="24"/>
          <w:szCs w:val="24"/>
          <w:lang/>
        </w:rPr>
      </w:pPr>
      <w:r>
        <w:rPr>
          <w:rFonts w:ascii="Times New Roman" w:hAnsi="Times New Roman"/>
          <w:sz w:val="24"/>
          <w:szCs w:val="24"/>
          <w:lang/>
        </w:rPr>
        <w:t>Такође, истим Закључком, Скупштина Града Бијељина је затражила од Градоначелника Града Бијељина да у циљу законитог и одговорног трошења јавних средстава квартално или полугодишње доставља Скупштини Града Бијељина Информацију</w:t>
      </w:r>
      <w:r w:rsidR="00AB4105">
        <w:rPr>
          <w:rFonts w:ascii="Times New Roman" w:hAnsi="Times New Roman"/>
          <w:sz w:val="24"/>
          <w:szCs w:val="24"/>
          <w:lang/>
        </w:rPr>
        <w:t xml:space="preserve"> </w:t>
      </w:r>
      <w:r>
        <w:rPr>
          <w:rFonts w:ascii="Times New Roman" w:hAnsi="Times New Roman"/>
          <w:sz w:val="24"/>
          <w:szCs w:val="24"/>
          <w:lang/>
        </w:rPr>
        <w:t>о предзетим мјерама и активностима из Акционог плана, све до њиховог потпуног извршења.</w:t>
      </w:r>
    </w:p>
    <w:p w:rsidR="00645B3D" w:rsidRDefault="00645B3D" w:rsidP="009F1766">
      <w:pPr>
        <w:spacing w:after="0"/>
        <w:jc w:val="both"/>
        <w:rPr>
          <w:rFonts w:ascii="Times New Roman" w:hAnsi="Times New Roman"/>
          <w:sz w:val="24"/>
          <w:szCs w:val="24"/>
          <w:lang/>
        </w:rPr>
      </w:pPr>
    </w:p>
    <w:p w:rsidR="00645B3D" w:rsidRDefault="00645B3D" w:rsidP="009F1766">
      <w:pPr>
        <w:spacing w:after="0"/>
        <w:jc w:val="both"/>
        <w:rPr>
          <w:rFonts w:ascii="Times New Roman" w:hAnsi="Times New Roman"/>
          <w:sz w:val="24"/>
          <w:szCs w:val="24"/>
          <w:lang/>
        </w:rPr>
      </w:pPr>
      <w:r>
        <w:rPr>
          <w:rFonts w:ascii="Times New Roman" w:hAnsi="Times New Roman"/>
          <w:sz w:val="24"/>
          <w:szCs w:val="24"/>
          <w:lang/>
        </w:rPr>
        <w:t xml:space="preserve">Градоначелник Града Бијељина је утврдио Приједлог Информације о предузетим мјерама и активностима из Акционог плана </w:t>
      </w:r>
      <w:r>
        <w:rPr>
          <w:rFonts w:ascii="Times New Roman" w:hAnsi="Times New Roman"/>
          <w:sz w:val="24"/>
          <w:szCs w:val="24"/>
        </w:rPr>
        <w:t>за отклањање неправилности и недостатака по Извјештају Главне службе за ревизију јавног сектора Републике Српске</w:t>
      </w:r>
      <w:r>
        <w:rPr>
          <w:rFonts w:ascii="Times New Roman" w:hAnsi="Times New Roman"/>
          <w:sz w:val="24"/>
          <w:szCs w:val="24"/>
          <w:lang/>
        </w:rPr>
        <w:t xml:space="preserve">, </w:t>
      </w:r>
      <w:r w:rsidR="000B6749">
        <w:rPr>
          <w:rFonts w:ascii="Times New Roman" w:hAnsi="Times New Roman"/>
          <w:sz w:val="24"/>
          <w:szCs w:val="24"/>
          <w:lang/>
        </w:rPr>
        <w:t>те је упутио Скупшт</w:t>
      </w:r>
      <w:r>
        <w:rPr>
          <w:rFonts w:ascii="Times New Roman" w:hAnsi="Times New Roman"/>
          <w:sz w:val="24"/>
          <w:szCs w:val="24"/>
          <w:lang/>
        </w:rPr>
        <w:t>ини Града на разматрање.</w:t>
      </w:r>
    </w:p>
    <w:p w:rsidR="00645B3D" w:rsidRDefault="00645B3D" w:rsidP="009F1766">
      <w:pPr>
        <w:spacing w:after="0"/>
        <w:jc w:val="both"/>
        <w:rPr>
          <w:rFonts w:ascii="Times New Roman" w:hAnsi="Times New Roman"/>
          <w:sz w:val="24"/>
          <w:szCs w:val="24"/>
          <w:lang/>
        </w:rPr>
      </w:pPr>
      <w:r>
        <w:rPr>
          <w:rFonts w:ascii="Times New Roman" w:hAnsi="Times New Roman"/>
          <w:sz w:val="24"/>
          <w:szCs w:val="24"/>
          <w:lang/>
        </w:rPr>
        <w:t>Закључком број: 01-013-14-22/22, који је донесен на 14.сједници Скупштине Града, одржаној 29.јуна 2022.године, Скупштина Града је прихватила наведену Информацију.</w:t>
      </w:r>
    </w:p>
    <w:p w:rsidR="000B6749" w:rsidRDefault="000B6749" w:rsidP="009F1766">
      <w:pPr>
        <w:spacing w:after="0"/>
        <w:jc w:val="both"/>
        <w:rPr>
          <w:rFonts w:ascii="Times New Roman" w:hAnsi="Times New Roman"/>
          <w:sz w:val="24"/>
          <w:szCs w:val="24"/>
          <w:lang/>
        </w:rPr>
      </w:pPr>
    </w:p>
    <w:p w:rsidR="000B6749" w:rsidRPr="000B6749" w:rsidRDefault="000B6749" w:rsidP="009F1766">
      <w:pPr>
        <w:spacing w:after="0"/>
        <w:jc w:val="both"/>
        <w:rPr>
          <w:rFonts w:ascii="Times New Roman" w:hAnsi="Times New Roman"/>
          <w:b/>
          <w:sz w:val="24"/>
          <w:szCs w:val="24"/>
          <w:lang/>
        </w:rPr>
      </w:pPr>
      <w:r>
        <w:rPr>
          <w:rFonts w:ascii="Times New Roman" w:hAnsi="Times New Roman"/>
          <w:b/>
          <w:sz w:val="24"/>
          <w:szCs w:val="24"/>
          <w:lang/>
        </w:rPr>
        <w:t>II - РЕАЛИЗАЦИЈА</w:t>
      </w:r>
    </w:p>
    <w:p w:rsidR="000B6749" w:rsidRDefault="000B6749" w:rsidP="009F1766">
      <w:pPr>
        <w:spacing w:before="120" w:after="120"/>
        <w:jc w:val="both"/>
        <w:rPr>
          <w:rFonts w:ascii="Times New Roman" w:hAnsi="Times New Roman"/>
          <w:sz w:val="24"/>
          <w:szCs w:val="24"/>
          <w:lang/>
        </w:rPr>
      </w:pPr>
    </w:p>
    <w:p w:rsidR="000B6749" w:rsidRDefault="000B6749" w:rsidP="009F1766">
      <w:pPr>
        <w:spacing w:before="120" w:after="120"/>
        <w:jc w:val="both"/>
        <w:rPr>
          <w:rFonts w:ascii="Times New Roman" w:hAnsi="Times New Roman"/>
          <w:sz w:val="24"/>
          <w:szCs w:val="24"/>
          <w:lang/>
        </w:rPr>
      </w:pPr>
      <w:r>
        <w:rPr>
          <w:rFonts w:ascii="Times New Roman" w:hAnsi="Times New Roman"/>
          <w:sz w:val="24"/>
          <w:szCs w:val="24"/>
          <w:lang/>
        </w:rPr>
        <w:t>Закључно са 31.јануаром 2023.године стање реализације препорука из Акционог плана је сљедеће:</w:t>
      </w:r>
    </w:p>
    <w:p w:rsidR="009F1766" w:rsidRDefault="000B6749" w:rsidP="009F1766">
      <w:pPr>
        <w:spacing w:before="120" w:after="120"/>
        <w:jc w:val="both"/>
        <w:rPr>
          <w:rFonts w:ascii="Times New Roman" w:hAnsi="Times New Roman"/>
          <w:sz w:val="24"/>
          <w:szCs w:val="24"/>
        </w:rPr>
      </w:pPr>
      <w:r>
        <w:rPr>
          <w:rFonts w:ascii="Times New Roman" w:hAnsi="Times New Roman"/>
          <w:sz w:val="24"/>
          <w:szCs w:val="24"/>
          <w:lang/>
        </w:rPr>
        <w:t>-</w:t>
      </w:r>
      <w:r w:rsidR="009F1766">
        <w:rPr>
          <w:rFonts w:ascii="Times New Roman" w:hAnsi="Times New Roman"/>
          <w:sz w:val="24"/>
          <w:szCs w:val="24"/>
        </w:rPr>
        <w:t>Препоруке везане за финансијске извјештаје су реализоване.</w:t>
      </w:r>
    </w:p>
    <w:p w:rsidR="009F1766" w:rsidRPr="000B6749" w:rsidRDefault="000B6749" w:rsidP="009F1766">
      <w:pPr>
        <w:spacing w:after="0"/>
        <w:jc w:val="both"/>
        <w:rPr>
          <w:rFonts w:ascii="Times New Roman" w:hAnsi="Times New Roman"/>
          <w:sz w:val="24"/>
          <w:szCs w:val="24"/>
        </w:rPr>
      </w:pPr>
      <w:r w:rsidRPr="000B6749">
        <w:rPr>
          <w:rFonts w:ascii="Times New Roman" w:hAnsi="Times New Roman"/>
          <w:sz w:val="24"/>
          <w:szCs w:val="24"/>
          <w:lang/>
        </w:rPr>
        <w:t>-</w:t>
      </w:r>
      <w:r w:rsidR="009F1766" w:rsidRPr="000B6749">
        <w:rPr>
          <w:rFonts w:ascii="Times New Roman" w:hAnsi="Times New Roman"/>
          <w:sz w:val="24"/>
          <w:szCs w:val="24"/>
        </w:rPr>
        <w:t>Од 13 препорука везаних за усклађеност двије нису реализоване, и то:</w:t>
      </w:r>
    </w:p>
    <w:p w:rsidR="009F1766" w:rsidRDefault="009F1766" w:rsidP="009F1766">
      <w:pPr>
        <w:spacing w:after="0"/>
        <w:jc w:val="both"/>
        <w:rPr>
          <w:rFonts w:ascii="Times New Roman" w:hAnsi="Times New Roman"/>
          <w:color w:val="FF0000"/>
          <w:sz w:val="24"/>
          <w:szCs w:val="24"/>
        </w:rPr>
      </w:pPr>
    </w:p>
    <w:p w:rsidR="009F1766" w:rsidRPr="009F1766" w:rsidRDefault="009F1766" w:rsidP="009F1766">
      <w:pPr>
        <w:spacing w:after="0"/>
        <w:jc w:val="both"/>
        <w:rPr>
          <w:rFonts w:ascii="Times New Roman" w:hAnsi="Times New Roman"/>
          <w:sz w:val="24"/>
          <w:szCs w:val="24"/>
        </w:rPr>
      </w:pPr>
      <w:r w:rsidRPr="009F1766">
        <w:rPr>
          <w:rFonts w:ascii="Times New Roman" w:hAnsi="Times New Roman"/>
          <w:sz w:val="24"/>
          <w:szCs w:val="24"/>
        </w:rPr>
        <w:t xml:space="preserve">Препорука број 1 - односи се на укључивање Аграрног фонда у систем трезорског пословања (приједлог одлуке Градоначелника није усвојен од стране Скупштине Града </w:t>
      </w:r>
      <w:r w:rsidRPr="009F1766">
        <w:rPr>
          <w:rFonts w:ascii="Times New Roman" w:hAnsi="Times New Roman"/>
          <w:sz w:val="24"/>
          <w:szCs w:val="24"/>
        </w:rPr>
        <w:sym w:font="Symbol" w:char="F02D"/>
      </w:r>
      <w:r w:rsidRPr="009F1766">
        <w:rPr>
          <w:rFonts w:ascii="Times New Roman" w:hAnsi="Times New Roman"/>
          <w:sz w:val="24"/>
          <w:szCs w:val="24"/>
        </w:rPr>
        <w:t xml:space="preserve"> у два покушаја), </w:t>
      </w:r>
    </w:p>
    <w:p w:rsidR="009F1766" w:rsidRDefault="009F1766" w:rsidP="009F1766">
      <w:pPr>
        <w:spacing w:after="0"/>
        <w:jc w:val="both"/>
        <w:rPr>
          <w:rFonts w:ascii="Times New Roman" w:hAnsi="Times New Roman"/>
          <w:sz w:val="24"/>
          <w:szCs w:val="24"/>
          <w:lang/>
        </w:rPr>
      </w:pPr>
      <w:r w:rsidRPr="000B6749">
        <w:rPr>
          <w:rFonts w:ascii="Times New Roman" w:hAnsi="Times New Roman"/>
          <w:sz w:val="24"/>
          <w:szCs w:val="24"/>
        </w:rPr>
        <w:lastRenderedPageBreak/>
        <w:t xml:space="preserve">Препорука број 12 -  односи се на обрачун плата и накнада у ЈУ СКУД "Семберија", који је потребно ускладити са Законом о платама и Колективним уговором у области образовања и културе Републике Српске. </w:t>
      </w:r>
    </w:p>
    <w:p w:rsidR="000B6749" w:rsidRPr="000B6749" w:rsidRDefault="000B6749" w:rsidP="009F1766">
      <w:pPr>
        <w:spacing w:after="0"/>
        <w:jc w:val="both"/>
        <w:rPr>
          <w:rFonts w:ascii="Times New Roman" w:hAnsi="Times New Roman"/>
          <w:sz w:val="24"/>
          <w:szCs w:val="24"/>
          <w:lang/>
        </w:rPr>
      </w:pPr>
      <w:r>
        <w:rPr>
          <w:rFonts w:ascii="Times New Roman" w:hAnsi="Times New Roman"/>
          <w:sz w:val="24"/>
          <w:szCs w:val="24"/>
          <w:lang/>
        </w:rPr>
        <w:t>У Обавјештењу о реализацији препоруке из Акционог плана 02-014-1-266/22, број: 91/23, од 27.01.2023.године које је добијено од стране СКУД „Семберија“ Бијељина и које је потписано од стране Директора наведене установе</w:t>
      </w:r>
      <w:r w:rsidR="00824E8B">
        <w:rPr>
          <w:rFonts w:ascii="Times New Roman" w:hAnsi="Times New Roman"/>
          <w:sz w:val="24"/>
          <w:szCs w:val="24"/>
          <w:lang/>
        </w:rPr>
        <w:t>,</w:t>
      </w:r>
      <w:r>
        <w:rPr>
          <w:rFonts w:ascii="Times New Roman" w:hAnsi="Times New Roman"/>
          <w:sz w:val="24"/>
          <w:szCs w:val="24"/>
          <w:lang/>
        </w:rPr>
        <w:t xml:space="preserve"> Бранке Марковић Савчић, наводи се сљедеће: „Препорука број 12 из Акционог плана број 02-014-1-266/22 који је утврдио Град Бијељина, а која се односи на усклађеност обрачуна плата и накнада у ЈУ СКУД „Семберија“ са Законом о платама запосленим у области културе Републике Српске и Посебним колективним уговором за запослене у области образовања и културе Републике Српске, биће реализована до обрачуна плате за март 2023.године.“</w:t>
      </w:r>
    </w:p>
    <w:p w:rsidR="009F1766" w:rsidRDefault="009F1766" w:rsidP="009F1766">
      <w:pPr>
        <w:spacing w:before="120" w:after="0"/>
        <w:jc w:val="both"/>
        <w:rPr>
          <w:rFonts w:ascii="Times New Roman" w:hAnsi="Times New Roman"/>
          <w:sz w:val="24"/>
          <w:szCs w:val="24"/>
        </w:rPr>
      </w:pPr>
      <w:proofErr w:type="gramStart"/>
      <w:r>
        <w:rPr>
          <w:rFonts w:ascii="Times New Roman" w:hAnsi="Times New Roman"/>
          <w:sz w:val="24"/>
          <w:szCs w:val="24"/>
        </w:rPr>
        <w:t>У</w:t>
      </w:r>
      <w:r w:rsidR="00D13F25">
        <w:rPr>
          <w:rFonts w:ascii="Times New Roman" w:hAnsi="Times New Roman"/>
          <w:sz w:val="24"/>
          <w:szCs w:val="24"/>
        </w:rPr>
        <w:t xml:space="preserve"> овој Информацији, на странама </w:t>
      </w:r>
      <w:r w:rsidR="00D13F25">
        <w:rPr>
          <w:rFonts w:ascii="Times New Roman" w:hAnsi="Times New Roman"/>
          <w:sz w:val="24"/>
          <w:szCs w:val="24"/>
          <w:lang/>
        </w:rPr>
        <w:t>7</w:t>
      </w:r>
      <w:r>
        <w:rPr>
          <w:rFonts w:ascii="Times New Roman" w:hAnsi="Times New Roman"/>
          <w:sz w:val="24"/>
          <w:szCs w:val="24"/>
        </w:rPr>
        <w:t>.</w:t>
      </w:r>
      <w:proofErr w:type="gramEnd"/>
      <w:r>
        <w:rPr>
          <w:rFonts w:ascii="Times New Roman" w:hAnsi="Times New Roman"/>
          <w:sz w:val="24"/>
          <w:szCs w:val="24"/>
        </w:rPr>
        <w:t xml:space="preserve"> и 1</w:t>
      </w:r>
      <w:r w:rsidR="00D13F25">
        <w:rPr>
          <w:rFonts w:ascii="Times New Roman" w:hAnsi="Times New Roman"/>
          <w:sz w:val="24"/>
          <w:szCs w:val="24"/>
          <w:lang/>
        </w:rPr>
        <w:t>1</w:t>
      </w:r>
      <w:r>
        <w:rPr>
          <w:rFonts w:ascii="Times New Roman" w:hAnsi="Times New Roman"/>
          <w:sz w:val="24"/>
          <w:szCs w:val="24"/>
        </w:rPr>
        <w:t xml:space="preserve">. </w:t>
      </w:r>
      <w:proofErr w:type="gramStart"/>
      <w:r>
        <w:rPr>
          <w:rFonts w:ascii="Times New Roman" w:hAnsi="Times New Roman"/>
          <w:sz w:val="24"/>
          <w:szCs w:val="24"/>
        </w:rPr>
        <w:t>посебно</w:t>
      </w:r>
      <w:proofErr w:type="gramEnd"/>
      <w:r>
        <w:rPr>
          <w:rFonts w:ascii="Times New Roman" w:hAnsi="Times New Roman"/>
          <w:sz w:val="24"/>
          <w:szCs w:val="24"/>
        </w:rPr>
        <w:t xml:space="preserve"> су означене препоруке које нису реализоване.</w:t>
      </w:r>
    </w:p>
    <w:p w:rsidR="009F1766" w:rsidRDefault="009F1766" w:rsidP="009F1766">
      <w:pPr>
        <w:spacing w:after="0"/>
        <w:jc w:val="both"/>
        <w:rPr>
          <w:rFonts w:ascii="Times New Roman" w:hAnsi="Times New Roman"/>
          <w:sz w:val="24"/>
          <w:szCs w:val="24"/>
        </w:rPr>
      </w:pPr>
    </w:p>
    <w:p w:rsidR="009F1766" w:rsidRPr="0049763C" w:rsidRDefault="009F1766" w:rsidP="009F1766">
      <w:pPr>
        <w:spacing w:after="0"/>
        <w:jc w:val="both"/>
        <w:rPr>
          <w:rFonts w:ascii="Times New Roman" w:hAnsi="Times New Roman"/>
          <w:sz w:val="24"/>
          <w:szCs w:val="24"/>
        </w:rPr>
      </w:pPr>
    </w:p>
    <w:p w:rsidR="009F1766" w:rsidRDefault="009F1766" w:rsidP="009F1766">
      <w:pPr>
        <w:rPr>
          <w:rFonts w:ascii="Times New Roman" w:hAnsi="Times New Roman"/>
        </w:rPr>
      </w:pPr>
    </w:p>
    <w:p w:rsidR="009F1766" w:rsidRDefault="009F1766" w:rsidP="009F1766">
      <w:pPr>
        <w:rPr>
          <w:rFonts w:ascii="Times New Roman" w:hAnsi="Times New Roman"/>
        </w:rPr>
        <w:sectPr w:rsidR="009F1766" w:rsidSect="006E0497">
          <w:headerReference w:type="even" r:id="rId8"/>
          <w:headerReference w:type="default" r:id="rId9"/>
          <w:footerReference w:type="even" r:id="rId10"/>
          <w:footerReference w:type="default" r:id="rId11"/>
          <w:headerReference w:type="first" r:id="rId12"/>
          <w:footerReference w:type="first" r:id="rId13"/>
          <w:pgSz w:w="12240" w:h="15840"/>
          <w:pgMar w:top="1417" w:right="1417" w:bottom="1417" w:left="1417" w:header="708" w:footer="397" w:gutter="0"/>
          <w:cols w:space="708"/>
          <w:docGrid w:linePitch="360"/>
        </w:sectPr>
      </w:pPr>
    </w:p>
    <w:p w:rsidR="009F1766" w:rsidRPr="00B36C1C" w:rsidRDefault="009F1766" w:rsidP="009F1766">
      <w:pPr>
        <w:pStyle w:val="Heading1"/>
        <w:spacing w:before="0" w:line="240" w:lineRule="auto"/>
        <w:rPr>
          <w:rFonts w:ascii="Times New Roman" w:hAnsi="Times New Roman"/>
          <w:color w:val="auto"/>
          <w:sz w:val="24"/>
          <w:szCs w:val="24"/>
        </w:rPr>
      </w:pPr>
      <w:r w:rsidRPr="00C21B58">
        <w:rPr>
          <w:rFonts w:ascii="Times New Roman" w:hAnsi="Times New Roman"/>
          <w:color w:val="auto"/>
          <w:sz w:val="22"/>
          <w:szCs w:val="22"/>
        </w:rPr>
        <w:lastRenderedPageBreak/>
        <w:t>II</w:t>
      </w:r>
      <w:r w:rsidR="00824E8B">
        <w:rPr>
          <w:rFonts w:ascii="Times New Roman" w:hAnsi="Times New Roman"/>
          <w:color w:val="auto"/>
          <w:sz w:val="22"/>
          <w:szCs w:val="22"/>
          <w:lang/>
        </w:rPr>
        <w:t>I</w:t>
      </w:r>
      <w:r w:rsidRPr="00C21B58">
        <w:rPr>
          <w:rFonts w:ascii="Times New Roman" w:hAnsi="Times New Roman"/>
          <w:color w:val="auto"/>
          <w:sz w:val="22"/>
          <w:szCs w:val="22"/>
        </w:rPr>
        <w:t xml:space="preserve"> – </w:t>
      </w:r>
      <w:r>
        <w:rPr>
          <w:rFonts w:ascii="Times New Roman" w:hAnsi="Times New Roman"/>
          <w:color w:val="auto"/>
          <w:sz w:val="22"/>
          <w:szCs w:val="22"/>
        </w:rPr>
        <w:t>ПРЕПОРУКЕ ИЗ АКЦИОНОГ ПЛАНА ЗА ОТКЛАЊАЊЕ НЕПРАВИЛНОСТИ ПО ИЗВЈЕШТАЈУ ГЛАВНЕ СЛУЖБЕ</w:t>
      </w:r>
    </w:p>
    <w:p w:rsidR="009F1766" w:rsidRDefault="009F1766" w:rsidP="009F1766">
      <w:pPr>
        <w:pStyle w:val="Header"/>
        <w:tabs>
          <w:tab w:val="clear" w:pos="4703"/>
        </w:tabs>
        <w:ind w:left="720"/>
        <w:rPr>
          <w:rFonts w:ascii="Times New Roman" w:hAnsi="Times New Roman"/>
          <w:b/>
          <w:i/>
          <w:sz w:val="28"/>
          <w:szCs w:val="28"/>
        </w:rPr>
      </w:pPr>
    </w:p>
    <w:p w:rsidR="009F1766" w:rsidRPr="001F5CF2" w:rsidRDefault="009F1766" w:rsidP="009F1766">
      <w:pPr>
        <w:pStyle w:val="Header"/>
        <w:tabs>
          <w:tab w:val="clear" w:pos="4703"/>
        </w:tabs>
        <w:ind w:left="1080"/>
        <w:rPr>
          <w:rFonts w:ascii="Times New Roman" w:hAnsi="Times New Roman"/>
          <w:b/>
          <w:i/>
          <w:sz w:val="28"/>
          <w:szCs w:val="28"/>
        </w:rPr>
      </w:pPr>
      <w:r w:rsidRPr="001F5CF2">
        <w:rPr>
          <w:rFonts w:ascii="Times New Roman" w:hAnsi="Times New Roman"/>
          <w:b/>
          <w:i/>
          <w:sz w:val="28"/>
          <w:szCs w:val="28"/>
        </w:rPr>
        <w:t>1. Препоруке везане за финансијске извјештаје</w:t>
      </w:r>
    </w:p>
    <w:tbl>
      <w:tblPr>
        <w:tblpPr w:leftFromText="180" w:rightFromText="180" w:vertAnchor="text" w:horzAnchor="margin" w:tblpXSpec="center" w:tblpY="648"/>
        <w:tblW w:w="150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1412"/>
        <w:gridCol w:w="4849"/>
        <w:gridCol w:w="1276"/>
        <w:gridCol w:w="2545"/>
        <w:gridCol w:w="4536"/>
      </w:tblGrid>
      <w:tr w:rsidR="009F1766" w:rsidRPr="005114E4" w:rsidTr="00385BB8">
        <w:tc>
          <w:tcPr>
            <w:tcW w:w="426"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b/>
              </w:rPr>
            </w:pPr>
            <w:r w:rsidRPr="005114E4">
              <w:rPr>
                <w:rFonts w:ascii="Times New Roman" w:hAnsi="Times New Roman"/>
                <w:b/>
              </w:rPr>
              <w:t>Р.б.</w:t>
            </w:r>
          </w:p>
        </w:tc>
        <w:tc>
          <w:tcPr>
            <w:tcW w:w="1412" w:type="dxa"/>
            <w:shd w:val="clear" w:color="auto" w:fill="auto"/>
            <w:vAlign w:val="center"/>
          </w:tcPr>
          <w:p w:rsidR="009F1766" w:rsidRPr="005114E4" w:rsidRDefault="009F1766" w:rsidP="00385BB8">
            <w:pPr>
              <w:spacing w:after="0" w:line="240" w:lineRule="auto"/>
              <w:ind w:left="-108" w:right="-108"/>
              <w:jc w:val="center"/>
              <w:rPr>
                <w:rFonts w:ascii="Times New Roman" w:hAnsi="Times New Roman"/>
                <w:b/>
              </w:rPr>
            </w:pPr>
            <w:r w:rsidRPr="005114E4">
              <w:rPr>
                <w:rFonts w:ascii="Times New Roman" w:hAnsi="Times New Roman"/>
                <w:b/>
              </w:rPr>
              <w:t>Референца на</w:t>
            </w:r>
          </w:p>
          <w:p w:rsidR="009F1766" w:rsidRPr="005114E4" w:rsidRDefault="009F1766" w:rsidP="00385BB8">
            <w:pPr>
              <w:spacing w:after="0" w:line="240" w:lineRule="auto"/>
              <w:jc w:val="center"/>
              <w:rPr>
                <w:rFonts w:ascii="Times New Roman" w:hAnsi="Times New Roman"/>
                <w:b/>
              </w:rPr>
            </w:pPr>
            <w:r w:rsidRPr="005114E4">
              <w:rPr>
                <w:rFonts w:ascii="Times New Roman" w:hAnsi="Times New Roman"/>
                <w:b/>
              </w:rPr>
              <w:t xml:space="preserve"> РВ066-21</w:t>
            </w:r>
          </w:p>
          <w:p w:rsidR="009F1766" w:rsidRPr="005114E4" w:rsidRDefault="009F1766" w:rsidP="00385BB8">
            <w:pPr>
              <w:spacing w:after="0" w:line="240" w:lineRule="auto"/>
              <w:ind w:left="-151" w:right="-88" w:firstLine="38"/>
              <w:jc w:val="center"/>
              <w:rPr>
                <w:rFonts w:ascii="Times New Roman" w:hAnsi="Times New Roman"/>
                <w:b/>
              </w:rPr>
            </w:pPr>
            <w:r w:rsidRPr="005114E4">
              <w:rPr>
                <w:rFonts w:ascii="Times New Roman" w:hAnsi="Times New Roman"/>
                <w:b/>
              </w:rPr>
              <w:t>(т. III Резиме)</w:t>
            </w:r>
          </w:p>
        </w:tc>
        <w:tc>
          <w:tcPr>
            <w:tcW w:w="4849" w:type="dxa"/>
            <w:shd w:val="clear" w:color="auto" w:fill="auto"/>
            <w:vAlign w:val="center"/>
          </w:tcPr>
          <w:p w:rsidR="009F1766" w:rsidRPr="005114E4" w:rsidRDefault="009F1766" w:rsidP="00385BB8">
            <w:pPr>
              <w:spacing w:after="0" w:line="240" w:lineRule="auto"/>
              <w:jc w:val="center"/>
              <w:rPr>
                <w:rFonts w:ascii="Times New Roman" w:hAnsi="Times New Roman"/>
                <w:b/>
              </w:rPr>
            </w:pPr>
            <w:r w:rsidRPr="005114E4">
              <w:rPr>
                <w:rFonts w:ascii="Times New Roman" w:hAnsi="Times New Roman"/>
                <w:b/>
                <w:sz w:val="24"/>
                <w:szCs w:val="24"/>
                <w:lang w:val="sr-Cyrl-BA"/>
              </w:rPr>
              <w:t>Препоруке ревизора</w:t>
            </w:r>
          </w:p>
        </w:tc>
        <w:tc>
          <w:tcPr>
            <w:tcW w:w="1276" w:type="dxa"/>
            <w:shd w:val="clear" w:color="auto" w:fill="auto"/>
            <w:vAlign w:val="center"/>
          </w:tcPr>
          <w:p w:rsidR="009F1766" w:rsidRPr="005114E4" w:rsidRDefault="009F1766" w:rsidP="00385BB8">
            <w:pPr>
              <w:spacing w:after="0" w:line="240" w:lineRule="auto"/>
              <w:ind w:left="-117" w:right="-108"/>
              <w:jc w:val="center"/>
              <w:rPr>
                <w:rFonts w:ascii="Times New Roman" w:hAnsi="Times New Roman"/>
                <w:b/>
              </w:rPr>
            </w:pPr>
            <w:r w:rsidRPr="005114E4">
              <w:rPr>
                <w:rFonts w:ascii="Times New Roman" w:hAnsi="Times New Roman"/>
                <w:b/>
              </w:rPr>
              <w:t>Носилац активности</w:t>
            </w:r>
          </w:p>
        </w:tc>
        <w:tc>
          <w:tcPr>
            <w:tcW w:w="2545" w:type="dxa"/>
            <w:shd w:val="clear" w:color="auto" w:fill="auto"/>
            <w:vAlign w:val="center"/>
          </w:tcPr>
          <w:p w:rsidR="009F1766" w:rsidRPr="005114E4" w:rsidRDefault="009F1766" w:rsidP="00385BB8">
            <w:pPr>
              <w:spacing w:after="0" w:line="240" w:lineRule="auto"/>
              <w:jc w:val="center"/>
              <w:rPr>
                <w:rFonts w:ascii="Times New Roman" w:hAnsi="Times New Roman"/>
                <w:b/>
              </w:rPr>
            </w:pPr>
            <w:r w:rsidRPr="005114E4">
              <w:rPr>
                <w:rFonts w:ascii="Times New Roman" w:hAnsi="Times New Roman"/>
                <w:b/>
              </w:rPr>
              <w:t>Рок за реализацију препоруке</w:t>
            </w:r>
          </w:p>
        </w:tc>
        <w:tc>
          <w:tcPr>
            <w:tcW w:w="4536" w:type="dxa"/>
            <w:shd w:val="clear" w:color="auto" w:fill="auto"/>
            <w:vAlign w:val="center"/>
          </w:tcPr>
          <w:p w:rsidR="009F1766" w:rsidRPr="005114E4" w:rsidRDefault="009F1766" w:rsidP="00385BB8">
            <w:pPr>
              <w:spacing w:after="0" w:line="240" w:lineRule="auto"/>
              <w:jc w:val="center"/>
              <w:rPr>
                <w:rFonts w:ascii="Times New Roman" w:hAnsi="Times New Roman"/>
                <w:b/>
              </w:rPr>
            </w:pPr>
            <w:r>
              <w:rPr>
                <w:rFonts w:ascii="Times New Roman" w:hAnsi="Times New Roman"/>
                <w:b/>
              </w:rPr>
              <w:t>Степен реализације препорука</w:t>
            </w:r>
          </w:p>
        </w:tc>
      </w:tr>
      <w:tr w:rsidR="009F1766" w:rsidRPr="005114E4" w:rsidTr="00385BB8">
        <w:tc>
          <w:tcPr>
            <w:tcW w:w="426"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sz w:val="20"/>
                <w:szCs w:val="20"/>
              </w:rPr>
            </w:pPr>
            <w:r w:rsidRPr="005114E4">
              <w:rPr>
                <w:rFonts w:ascii="Times New Roman" w:hAnsi="Times New Roman"/>
                <w:sz w:val="20"/>
                <w:szCs w:val="20"/>
              </w:rPr>
              <w:t>1</w:t>
            </w:r>
          </w:p>
        </w:tc>
        <w:tc>
          <w:tcPr>
            <w:tcW w:w="1412" w:type="dxa"/>
            <w:shd w:val="clear" w:color="auto" w:fill="auto"/>
            <w:vAlign w:val="center"/>
          </w:tcPr>
          <w:p w:rsidR="009F1766" w:rsidRPr="005114E4" w:rsidRDefault="009F1766" w:rsidP="00385BB8">
            <w:pPr>
              <w:spacing w:after="0" w:line="240" w:lineRule="auto"/>
              <w:ind w:left="-108" w:right="-108"/>
              <w:jc w:val="center"/>
              <w:rPr>
                <w:rFonts w:ascii="Times New Roman" w:hAnsi="Times New Roman"/>
                <w:sz w:val="20"/>
                <w:szCs w:val="20"/>
              </w:rPr>
            </w:pPr>
            <w:r w:rsidRPr="005114E4">
              <w:rPr>
                <w:rFonts w:ascii="Times New Roman" w:hAnsi="Times New Roman"/>
                <w:sz w:val="20"/>
                <w:szCs w:val="20"/>
              </w:rPr>
              <w:t>2</w:t>
            </w:r>
          </w:p>
        </w:tc>
        <w:tc>
          <w:tcPr>
            <w:tcW w:w="4849" w:type="dxa"/>
            <w:shd w:val="clear" w:color="auto" w:fill="auto"/>
            <w:vAlign w:val="center"/>
          </w:tcPr>
          <w:p w:rsidR="009F1766" w:rsidRPr="005114E4" w:rsidRDefault="009F1766" w:rsidP="00385BB8">
            <w:pPr>
              <w:spacing w:after="0" w:line="240" w:lineRule="auto"/>
              <w:jc w:val="center"/>
              <w:rPr>
                <w:rFonts w:ascii="Times New Roman" w:hAnsi="Times New Roman"/>
                <w:sz w:val="20"/>
                <w:szCs w:val="20"/>
                <w:lang w:val="sr-Cyrl-BA"/>
              </w:rPr>
            </w:pPr>
            <w:r w:rsidRPr="005114E4">
              <w:rPr>
                <w:rFonts w:ascii="Times New Roman" w:hAnsi="Times New Roman"/>
                <w:sz w:val="20"/>
                <w:szCs w:val="20"/>
                <w:lang w:val="sr-Cyrl-BA"/>
              </w:rPr>
              <w:t>3</w:t>
            </w:r>
          </w:p>
        </w:tc>
        <w:tc>
          <w:tcPr>
            <w:tcW w:w="1276"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0"/>
                <w:szCs w:val="20"/>
              </w:rPr>
            </w:pPr>
            <w:r w:rsidRPr="005114E4">
              <w:rPr>
                <w:rFonts w:ascii="Times New Roman" w:hAnsi="Times New Roman"/>
                <w:sz w:val="20"/>
                <w:szCs w:val="20"/>
              </w:rPr>
              <w:t>4</w:t>
            </w:r>
          </w:p>
        </w:tc>
        <w:tc>
          <w:tcPr>
            <w:tcW w:w="2545" w:type="dxa"/>
            <w:shd w:val="clear" w:color="auto" w:fill="auto"/>
            <w:vAlign w:val="center"/>
          </w:tcPr>
          <w:p w:rsidR="009F1766" w:rsidRPr="005114E4" w:rsidRDefault="009F1766" w:rsidP="00385BB8">
            <w:pPr>
              <w:spacing w:after="0" w:line="240" w:lineRule="auto"/>
              <w:jc w:val="center"/>
              <w:rPr>
                <w:rFonts w:ascii="Times New Roman" w:hAnsi="Times New Roman"/>
                <w:sz w:val="20"/>
                <w:szCs w:val="20"/>
              </w:rPr>
            </w:pPr>
            <w:r w:rsidRPr="005114E4">
              <w:rPr>
                <w:rFonts w:ascii="Times New Roman" w:hAnsi="Times New Roman"/>
                <w:sz w:val="20"/>
                <w:szCs w:val="20"/>
              </w:rPr>
              <w:t>5</w:t>
            </w:r>
          </w:p>
        </w:tc>
        <w:tc>
          <w:tcPr>
            <w:tcW w:w="4536" w:type="dxa"/>
            <w:shd w:val="clear" w:color="auto" w:fill="auto"/>
            <w:vAlign w:val="center"/>
          </w:tcPr>
          <w:p w:rsidR="009F1766" w:rsidRPr="005114E4" w:rsidRDefault="009F1766" w:rsidP="00385BB8">
            <w:pPr>
              <w:spacing w:after="0" w:line="240" w:lineRule="auto"/>
              <w:jc w:val="center"/>
              <w:rPr>
                <w:rFonts w:ascii="Times New Roman" w:hAnsi="Times New Roman"/>
                <w:sz w:val="20"/>
                <w:szCs w:val="20"/>
              </w:rPr>
            </w:pPr>
            <w:r w:rsidRPr="005114E4">
              <w:rPr>
                <w:rFonts w:ascii="Times New Roman" w:hAnsi="Times New Roman"/>
                <w:sz w:val="20"/>
                <w:szCs w:val="20"/>
              </w:rPr>
              <w:t>6</w:t>
            </w:r>
          </w:p>
        </w:tc>
      </w:tr>
      <w:tr w:rsidR="009F1766" w:rsidRPr="005114E4" w:rsidTr="00385BB8">
        <w:tc>
          <w:tcPr>
            <w:tcW w:w="426"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t>01.</w:t>
            </w:r>
          </w:p>
        </w:tc>
        <w:tc>
          <w:tcPr>
            <w:tcW w:w="1412"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 xml:space="preserve">Препорука </w:t>
            </w:r>
          </w:p>
          <w:p w:rsidR="009F1766" w:rsidRPr="005114E4" w:rsidRDefault="009F1766" w:rsidP="00385BB8">
            <w:pPr>
              <w:spacing w:after="0" w:line="240" w:lineRule="auto"/>
              <w:jc w:val="center"/>
              <w:rPr>
                <w:rFonts w:ascii="Times New Roman" w:hAnsi="Times New Roman"/>
              </w:rPr>
            </w:pPr>
            <w:proofErr w:type="gramStart"/>
            <w:r w:rsidRPr="005114E4">
              <w:rPr>
                <w:rFonts w:ascii="Times New Roman" w:hAnsi="Times New Roman"/>
              </w:rPr>
              <w:t>број</w:t>
            </w:r>
            <w:proofErr w:type="gramEnd"/>
            <w:r w:rsidRPr="005114E4">
              <w:rPr>
                <w:rFonts w:ascii="Times New Roman" w:hAnsi="Times New Roman"/>
              </w:rPr>
              <w:t xml:space="preserve"> 1.</w:t>
            </w:r>
          </w:p>
          <w:p w:rsidR="009F1766" w:rsidRPr="005114E4" w:rsidRDefault="009F1766" w:rsidP="00385BB8">
            <w:pPr>
              <w:spacing w:after="0" w:line="240" w:lineRule="auto"/>
              <w:jc w:val="center"/>
              <w:rPr>
                <w:rFonts w:ascii="Times New Roman" w:hAnsi="Times New Roman"/>
              </w:rPr>
            </w:pPr>
          </w:p>
        </w:tc>
        <w:tc>
          <w:tcPr>
            <w:tcW w:w="4849" w:type="dxa"/>
            <w:shd w:val="clear" w:color="auto" w:fill="auto"/>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Консолидацију ентитета јавног сектора који нису буџетски корисници вршити у складу са чланом 123. Правилника о рачуноводству, рачуноводственим политиканма и рачуноводственим процјенама за буџетске кориснике</w:t>
            </w:r>
          </w:p>
        </w:tc>
        <w:tc>
          <w:tcPr>
            <w:tcW w:w="1276"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Одјељење за финансије</w:t>
            </w:r>
          </w:p>
        </w:tc>
        <w:tc>
          <w:tcPr>
            <w:tcW w:w="2545"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у року за израду Консолидованих финансијских извјештаја Града за 2021. годину</w:t>
            </w:r>
          </w:p>
        </w:tc>
        <w:tc>
          <w:tcPr>
            <w:tcW w:w="4536"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 xml:space="preserve">Препорука је реализована у дијелу евидентирања на конту 111 321 износа </w:t>
            </w:r>
            <w:proofErr w:type="gramStart"/>
            <w:r w:rsidRPr="005114E4">
              <w:rPr>
                <w:rFonts w:ascii="Times New Roman" w:hAnsi="Times New Roman"/>
              </w:rPr>
              <w:t>од  25.795.197,00</w:t>
            </w:r>
            <w:proofErr w:type="gramEnd"/>
            <w:r w:rsidRPr="005114E4">
              <w:rPr>
                <w:rFonts w:ascii="Times New Roman" w:hAnsi="Times New Roman"/>
              </w:rPr>
              <w:t xml:space="preserve"> КМ што представља оснивачки улог ЈП „Воде“. </w:t>
            </w:r>
          </w:p>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 xml:space="preserve">(доказ: Налог број 191/21 од 23.12.2021. г) </w:t>
            </w:r>
          </w:p>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Консолидација, укључујући овај субјекат, ће се извршити у току израде годишњих финанасијски извјештаја за 2021. годину.</w:t>
            </w:r>
          </w:p>
        </w:tc>
      </w:tr>
      <w:tr w:rsidR="009F1766" w:rsidRPr="005114E4" w:rsidTr="00385BB8">
        <w:trPr>
          <w:trHeight w:val="1806"/>
        </w:trPr>
        <w:tc>
          <w:tcPr>
            <w:tcW w:w="426"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p>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t>02.</w:t>
            </w:r>
          </w:p>
        </w:tc>
        <w:tc>
          <w:tcPr>
            <w:tcW w:w="1412"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2.</w:t>
            </w:r>
          </w:p>
          <w:p w:rsidR="009F1766" w:rsidRPr="005114E4" w:rsidRDefault="009F1766" w:rsidP="00385BB8">
            <w:pPr>
              <w:spacing w:after="0" w:line="240" w:lineRule="auto"/>
              <w:jc w:val="center"/>
              <w:rPr>
                <w:rFonts w:ascii="Times New Roman" w:hAnsi="Times New Roman"/>
              </w:rPr>
            </w:pPr>
          </w:p>
        </w:tc>
        <w:tc>
          <w:tcPr>
            <w:tcW w:w="4849" w:type="dxa"/>
            <w:shd w:val="clear" w:color="auto" w:fill="auto"/>
          </w:tcPr>
          <w:p w:rsidR="009F1766" w:rsidRPr="005114E4" w:rsidRDefault="009F1766" w:rsidP="00385BB8">
            <w:pPr>
              <w:spacing w:after="0" w:line="240" w:lineRule="auto"/>
              <w:ind w:right="-99"/>
              <w:jc w:val="both"/>
              <w:rPr>
                <w:rFonts w:ascii="Times New Roman" w:hAnsi="Times New Roman"/>
              </w:rPr>
            </w:pPr>
            <w:r w:rsidRPr="005114E4">
              <w:rPr>
                <w:rFonts w:ascii="Times New Roman" w:hAnsi="Times New Roman"/>
              </w:rPr>
              <w:t xml:space="preserve">Расходе евидентирати по основу смањења економске користи или услужног потенцијала током извјештајног периода, приходе од грантова </w:t>
            </w:r>
            <w:proofErr w:type="gramStart"/>
            <w:r w:rsidRPr="005114E4">
              <w:rPr>
                <w:rFonts w:ascii="Times New Roman" w:hAnsi="Times New Roman"/>
              </w:rPr>
              <w:t>признавати  на</w:t>
            </w:r>
            <w:proofErr w:type="gramEnd"/>
            <w:r w:rsidRPr="005114E4">
              <w:rPr>
                <w:rFonts w:ascii="Times New Roman" w:hAnsi="Times New Roman"/>
              </w:rPr>
              <w:t xml:space="preserve"> готовинском основу у моменту наплате у складу са чланом 93. </w:t>
            </w:r>
            <w:proofErr w:type="gramStart"/>
            <w:r w:rsidRPr="005114E4">
              <w:rPr>
                <w:rFonts w:ascii="Times New Roman" w:hAnsi="Times New Roman"/>
              </w:rPr>
              <w:t>став</w:t>
            </w:r>
            <w:proofErr w:type="gramEnd"/>
            <w:r w:rsidRPr="005114E4">
              <w:rPr>
                <w:rFonts w:ascii="Times New Roman" w:hAnsi="Times New Roman"/>
              </w:rPr>
              <w:t xml:space="preserve"> 1. и 108. Правилника о рачуноводству, рач. </w:t>
            </w:r>
            <w:proofErr w:type="gramStart"/>
            <w:r w:rsidRPr="005114E4">
              <w:rPr>
                <w:rFonts w:ascii="Times New Roman" w:hAnsi="Times New Roman"/>
              </w:rPr>
              <w:t>политикама</w:t>
            </w:r>
            <w:proofErr w:type="gramEnd"/>
            <w:r w:rsidRPr="005114E4">
              <w:rPr>
                <w:rFonts w:ascii="Times New Roman" w:hAnsi="Times New Roman"/>
              </w:rPr>
              <w:t xml:space="preserve"> и рач. процјенама за буџетске кориснике</w:t>
            </w:r>
          </w:p>
        </w:tc>
        <w:tc>
          <w:tcPr>
            <w:tcW w:w="1276"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Одјељење за финансије</w:t>
            </w:r>
          </w:p>
        </w:tc>
        <w:tc>
          <w:tcPr>
            <w:tcW w:w="2545"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одмах и континуирано</w:t>
            </w:r>
          </w:p>
        </w:tc>
        <w:tc>
          <w:tcPr>
            <w:tcW w:w="4536"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 xml:space="preserve">Препорука је спроведена у 2021. </w:t>
            </w:r>
            <w:proofErr w:type="gramStart"/>
            <w:r w:rsidRPr="005114E4">
              <w:rPr>
                <w:rFonts w:ascii="Times New Roman" w:hAnsi="Times New Roman"/>
              </w:rPr>
              <w:t>години</w:t>
            </w:r>
            <w:proofErr w:type="gramEnd"/>
            <w:r w:rsidRPr="005114E4">
              <w:rPr>
                <w:rFonts w:ascii="Times New Roman" w:hAnsi="Times New Roman"/>
              </w:rPr>
              <w:t xml:space="preserve"> везано за трансакције из тог периода. </w:t>
            </w:r>
          </w:p>
          <w:p w:rsidR="009F1766" w:rsidRPr="005114E4" w:rsidRDefault="009F1766" w:rsidP="00385BB8">
            <w:pPr>
              <w:spacing w:after="0" w:line="240" w:lineRule="auto"/>
              <w:jc w:val="both"/>
              <w:rPr>
                <w:rFonts w:ascii="Times New Roman" w:hAnsi="Times New Roman"/>
              </w:rPr>
            </w:pPr>
            <w:r w:rsidRPr="005114E4">
              <w:rPr>
                <w:rFonts w:ascii="Times New Roman" w:hAnsi="Times New Roman"/>
                <w:lang w:val="sr-Cyrl-BA"/>
              </w:rPr>
              <w:t>У наредном периоду појачаће се рачуноводствене контроле (суштинска, а не само формална контрола налога за књижење) у циљу да се пропусти не понављају.</w:t>
            </w:r>
          </w:p>
        </w:tc>
      </w:tr>
      <w:tr w:rsidR="009F1766" w:rsidRPr="005114E4" w:rsidTr="00385BB8">
        <w:trPr>
          <w:trHeight w:val="3303"/>
        </w:trPr>
        <w:tc>
          <w:tcPr>
            <w:tcW w:w="426"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t>03.</w:t>
            </w:r>
          </w:p>
        </w:tc>
        <w:tc>
          <w:tcPr>
            <w:tcW w:w="1412"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3.</w:t>
            </w:r>
          </w:p>
          <w:p w:rsidR="009F1766" w:rsidRPr="005114E4" w:rsidRDefault="009F1766" w:rsidP="00385BB8">
            <w:pPr>
              <w:spacing w:after="0" w:line="240" w:lineRule="auto"/>
              <w:jc w:val="center"/>
              <w:rPr>
                <w:rFonts w:ascii="Times New Roman" w:hAnsi="Times New Roman"/>
              </w:rPr>
            </w:pPr>
          </w:p>
        </w:tc>
        <w:tc>
          <w:tcPr>
            <w:tcW w:w="4849"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 xml:space="preserve">Класификацију расхода по основу плата, субвенција, грантова, трансфера између различитих јединица власти, обрачунских расхода, прихода обрачунског карактера по основу односа између или унутар јединица власти по основу преноса права и прихода од трансфера ентитета вршити у складу са чланом 91, 94, 95, 100, 102, 103, 139. </w:t>
            </w:r>
            <w:proofErr w:type="gramStart"/>
            <w:r w:rsidRPr="005114E4">
              <w:rPr>
                <w:rFonts w:ascii="Times New Roman" w:hAnsi="Times New Roman"/>
              </w:rPr>
              <w:t>и</w:t>
            </w:r>
            <w:proofErr w:type="gramEnd"/>
            <w:r w:rsidRPr="005114E4">
              <w:rPr>
                <w:rFonts w:ascii="Times New Roman" w:hAnsi="Times New Roman"/>
              </w:rPr>
              <w:t xml:space="preserve"> 140. Правилника о буџетским класификацијама</w:t>
            </w:r>
          </w:p>
        </w:tc>
        <w:tc>
          <w:tcPr>
            <w:tcW w:w="1276"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Одјељење зa финансије</w:t>
            </w:r>
          </w:p>
        </w:tc>
        <w:tc>
          <w:tcPr>
            <w:tcW w:w="2545" w:type="dxa"/>
            <w:shd w:val="clear" w:color="auto" w:fill="auto"/>
          </w:tcPr>
          <w:p w:rsidR="009F1766" w:rsidRPr="005114E4" w:rsidRDefault="009F1766" w:rsidP="00385BB8">
            <w:pPr>
              <w:spacing w:after="0" w:line="240" w:lineRule="auto"/>
              <w:rPr>
                <w:rFonts w:ascii="Times New Roman" w:hAnsi="Times New Roman"/>
              </w:rPr>
            </w:pPr>
          </w:p>
          <w:p w:rsidR="009F1766" w:rsidRPr="005114E4" w:rsidRDefault="009F1766" w:rsidP="00385BB8">
            <w:pPr>
              <w:spacing w:after="0" w:line="240" w:lineRule="auto"/>
              <w:rPr>
                <w:rFonts w:ascii="Times New Roman" w:hAnsi="Times New Roman"/>
              </w:rPr>
            </w:pPr>
          </w:p>
          <w:p w:rsidR="009F1766" w:rsidRPr="005114E4" w:rsidRDefault="009F1766" w:rsidP="00385BB8">
            <w:pPr>
              <w:spacing w:after="0" w:line="240" w:lineRule="auto"/>
              <w:rPr>
                <w:rFonts w:ascii="Times New Roman" w:hAnsi="Times New Roman"/>
              </w:rPr>
            </w:pPr>
          </w:p>
          <w:p w:rsidR="009F1766" w:rsidRPr="005114E4" w:rsidRDefault="009F1766" w:rsidP="00385BB8">
            <w:pPr>
              <w:spacing w:after="0" w:line="240" w:lineRule="auto"/>
              <w:rPr>
                <w:rFonts w:ascii="Times New Roman" w:hAnsi="Times New Roman"/>
              </w:rPr>
            </w:pPr>
          </w:p>
          <w:p w:rsidR="009F1766" w:rsidRPr="005114E4" w:rsidRDefault="009F1766" w:rsidP="00385BB8">
            <w:pPr>
              <w:spacing w:after="0" w:line="240" w:lineRule="auto"/>
              <w:rPr>
                <w:rFonts w:ascii="Times New Roman" w:hAnsi="Times New Roman"/>
              </w:rPr>
            </w:pPr>
          </w:p>
          <w:p w:rsidR="009F1766" w:rsidRPr="005114E4" w:rsidRDefault="009F1766" w:rsidP="00385BB8">
            <w:pPr>
              <w:spacing w:after="0" w:line="240" w:lineRule="auto"/>
              <w:rPr>
                <w:rFonts w:ascii="Times New Roman" w:hAnsi="Times New Roman"/>
              </w:rPr>
            </w:pPr>
          </w:p>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одмах и континуирано</w:t>
            </w:r>
          </w:p>
        </w:tc>
        <w:tc>
          <w:tcPr>
            <w:tcW w:w="4536" w:type="dxa"/>
            <w:shd w:val="clear" w:color="auto" w:fill="auto"/>
            <w:vAlign w:val="center"/>
          </w:tcPr>
          <w:p w:rsidR="009F1766" w:rsidRPr="005114E4" w:rsidRDefault="009F1766" w:rsidP="00385BB8">
            <w:pPr>
              <w:spacing w:after="0" w:line="240" w:lineRule="auto"/>
              <w:jc w:val="both"/>
              <w:rPr>
                <w:rFonts w:ascii="Times New Roman" w:hAnsi="Times New Roman"/>
                <w:lang w:val="sr-Cyrl-BA"/>
              </w:rPr>
            </w:pPr>
            <w:r w:rsidRPr="005114E4">
              <w:rPr>
                <w:rFonts w:ascii="Times New Roman" w:hAnsi="Times New Roman"/>
              </w:rPr>
              <w:t xml:space="preserve">У 2020. </w:t>
            </w:r>
            <w:proofErr w:type="gramStart"/>
            <w:r w:rsidRPr="005114E4">
              <w:rPr>
                <w:rFonts w:ascii="Times New Roman" w:hAnsi="Times New Roman"/>
              </w:rPr>
              <w:t>години</w:t>
            </w:r>
            <w:proofErr w:type="gramEnd"/>
            <w:r w:rsidRPr="005114E4">
              <w:rPr>
                <w:rFonts w:ascii="Times New Roman" w:hAnsi="Times New Roman"/>
              </w:rPr>
              <w:t xml:space="preserve"> класификовање је вршено на обрачунским расходима, због неусвајања Одлуке о измјени Одлуке о буџет</w:t>
            </w:r>
            <w:r w:rsidRPr="005114E4">
              <w:rPr>
                <w:rFonts w:ascii="Times New Roman" w:hAnsi="Times New Roman"/>
                <w:lang w:val="sr-Cyrl-BA"/>
              </w:rPr>
              <w:t>у</w:t>
            </w:r>
            <w:r w:rsidRPr="005114E4">
              <w:rPr>
                <w:rFonts w:ascii="Times New Roman" w:hAnsi="Times New Roman"/>
              </w:rPr>
              <w:t xml:space="preserve">. Препорука је реализована у 2021. г. </w:t>
            </w:r>
            <w:proofErr w:type="gramStart"/>
            <w:r w:rsidRPr="005114E4">
              <w:rPr>
                <w:rFonts w:ascii="Times New Roman" w:hAnsi="Times New Roman"/>
              </w:rPr>
              <w:t>евидентирањем</w:t>
            </w:r>
            <w:proofErr w:type="gramEnd"/>
            <w:r w:rsidRPr="005114E4">
              <w:rPr>
                <w:rFonts w:ascii="Times New Roman" w:hAnsi="Times New Roman"/>
              </w:rPr>
              <w:t xml:space="preserve"> обрачунских расхода из 2020. </w:t>
            </w:r>
            <w:r w:rsidRPr="005114E4">
              <w:rPr>
                <w:rFonts w:ascii="Times New Roman" w:hAnsi="Times New Roman"/>
                <w:lang w:val="sr-Cyrl-BA"/>
              </w:rPr>
              <w:t>године</w:t>
            </w:r>
            <w:r w:rsidRPr="005114E4">
              <w:rPr>
                <w:rFonts w:ascii="Times New Roman" w:hAnsi="Times New Roman"/>
              </w:rPr>
              <w:t xml:space="preserve"> у износу од 1.741.849,96 KM</w:t>
            </w:r>
            <w:r w:rsidRPr="005114E4">
              <w:rPr>
                <w:rFonts w:ascii="Times New Roman" w:hAnsi="Times New Roman"/>
                <w:lang w:val="sr-Cyrl-BA"/>
              </w:rPr>
              <w:t xml:space="preserve"> </w:t>
            </w:r>
          </w:p>
          <w:p w:rsidR="009F1766" w:rsidRPr="005114E4" w:rsidRDefault="009F1766" w:rsidP="00385BB8">
            <w:pPr>
              <w:spacing w:after="0" w:line="240" w:lineRule="auto"/>
              <w:jc w:val="both"/>
              <w:rPr>
                <w:rFonts w:ascii="Times New Roman" w:hAnsi="Times New Roman"/>
                <w:lang w:val="sr-Cyrl-BA"/>
              </w:rPr>
            </w:pPr>
            <w:r w:rsidRPr="005114E4">
              <w:rPr>
                <w:rFonts w:ascii="Times New Roman" w:hAnsi="Times New Roman"/>
                <w:lang w:val="sr-Cyrl-BA"/>
              </w:rPr>
              <w:t>(доказ-</w:t>
            </w:r>
            <w:r w:rsidRPr="005114E4">
              <w:rPr>
                <w:rFonts w:ascii="Times New Roman" w:hAnsi="Times New Roman"/>
              </w:rPr>
              <w:t>картица 631 911</w:t>
            </w:r>
            <w:r w:rsidRPr="005114E4">
              <w:rPr>
                <w:rFonts w:ascii="Times New Roman" w:hAnsi="Times New Roman"/>
                <w:lang w:val="sr-Cyrl-BA"/>
              </w:rPr>
              <w:t>).</w:t>
            </w:r>
          </w:p>
          <w:p w:rsidR="009F1766" w:rsidRPr="005114E4" w:rsidRDefault="009F1766" w:rsidP="00385BB8">
            <w:pPr>
              <w:spacing w:before="120" w:after="120" w:line="240" w:lineRule="auto"/>
              <w:jc w:val="both"/>
              <w:rPr>
                <w:rFonts w:ascii="Times New Roman" w:hAnsi="Times New Roman"/>
              </w:rPr>
            </w:pPr>
            <w:r w:rsidRPr="005114E4">
              <w:rPr>
                <w:rFonts w:ascii="Times New Roman" w:hAnsi="Times New Roman"/>
                <w:lang w:val="sr-Cyrl-BA"/>
              </w:rPr>
              <w:t xml:space="preserve">У наредном периоду појачаће се рачуноводствене контроле (обезбиједиће се суштинска, а не само формална контрола налога), како би се наведени расходи прописно евидентирали.  </w:t>
            </w:r>
          </w:p>
        </w:tc>
      </w:tr>
    </w:tbl>
    <w:p w:rsidR="009F1766" w:rsidRPr="005114E4" w:rsidRDefault="009F1766" w:rsidP="009F1766">
      <w:pPr>
        <w:spacing w:after="0"/>
        <w:rPr>
          <w:vanish/>
        </w:rPr>
      </w:pPr>
    </w:p>
    <w:tbl>
      <w:tblPr>
        <w:tblpPr w:leftFromText="180" w:rightFromText="180" w:vertAnchor="text" w:horzAnchor="margin" w:tblpXSpec="center" w:tblpY="-336"/>
        <w:tblW w:w="14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1"/>
        <w:gridCol w:w="1417"/>
        <w:gridCol w:w="4820"/>
        <w:gridCol w:w="1417"/>
        <w:gridCol w:w="2410"/>
        <w:gridCol w:w="4383"/>
      </w:tblGrid>
      <w:tr w:rsidR="009F1766" w:rsidRPr="005114E4" w:rsidTr="00385BB8">
        <w:trPr>
          <w:trHeight w:val="2242"/>
        </w:trPr>
        <w:tc>
          <w:tcPr>
            <w:tcW w:w="421"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lastRenderedPageBreak/>
              <w:t>04.</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4.</w:t>
            </w:r>
          </w:p>
          <w:p w:rsidR="009F1766" w:rsidRPr="005114E4" w:rsidRDefault="009F1766" w:rsidP="00385BB8">
            <w:pPr>
              <w:spacing w:after="0" w:line="240" w:lineRule="auto"/>
              <w:jc w:val="center"/>
              <w:rPr>
                <w:rFonts w:ascii="Times New Roman" w:hAnsi="Times New Roman"/>
              </w:rPr>
            </w:pPr>
          </w:p>
        </w:tc>
        <w:tc>
          <w:tcPr>
            <w:tcW w:w="4820" w:type="dxa"/>
            <w:shd w:val="clear" w:color="auto" w:fill="auto"/>
            <w:vAlign w:val="center"/>
          </w:tcPr>
          <w:p w:rsidR="009F1766" w:rsidRPr="005114E4" w:rsidRDefault="009F1766" w:rsidP="00385BB8">
            <w:pPr>
              <w:spacing w:before="120" w:after="120" w:line="240" w:lineRule="auto"/>
              <w:jc w:val="both"/>
              <w:rPr>
                <w:rFonts w:ascii="Times New Roman" w:hAnsi="Times New Roman"/>
              </w:rPr>
            </w:pPr>
            <w:r w:rsidRPr="005114E4">
              <w:rPr>
                <w:rFonts w:ascii="Times New Roman" w:hAnsi="Times New Roman"/>
              </w:rPr>
              <w:t xml:space="preserve">Евиденције у вези са издацима за нефинансијску имовину по основу улагања у нефинансијску имовину, издацима и обавезама по основу отплате дуга по кредиту јавних предузећа и установа за које је Град дао гаранције, ванбилансним позицијама у складу са чланом 82, 92 став (1), 96. </w:t>
            </w:r>
            <w:proofErr w:type="gramStart"/>
            <w:r w:rsidRPr="005114E4">
              <w:rPr>
                <w:rFonts w:ascii="Times New Roman" w:hAnsi="Times New Roman"/>
              </w:rPr>
              <w:t>и</w:t>
            </w:r>
            <w:proofErr w:type="gramEnd"/>
            <w:r w:rsidRPr="005114E4">
              <w:rPr>
                <w:rFonts w:ascii="Times New Roman" w:hAnsi="Times New Roman"/>
              </w:rPr>
              <w:t xml:space="preserve"> 98. Правилником о рачиноводственим политикама.</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Одјељење зa финансије</w:t>
            </w:r>
          </w:p>
        </w:tc>
        <w:tc>
          <w:tcPr>
            <w:tcW w:w="2410" w:type="dxa"/>
            <w:shd w:val="clear" w:color="auto" w:fill="auto"/>
          </w:tcPr>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одмах и континуирано</w:t>
            </w:r>
          </w:p>
        </w:tc>
        <w:tc>
          <w:tcPr>
            <w:tcW w:w="4383" w:type="dxa"/>
            <w:shd w:val="clear" w:color="auto" w:fill="auto"/>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је реализована евидентирањем износа од 1.238.594,75 KM (</w:t>
            </w:r>
            <w:r w:rsidRPr="005114E4">
              <w:rPr>
                <w:rFonts w:ascii="Times New Roman" w:hAnsi="Times New Roman"/>
                <w:lang w:val="sr-Cyrl-BA"/>
              </w:rPr>
              <w:t>доказ-</w:t>
            </w:r>
            <w:r w:rsidRPr="005114E4">
              <w:rPr>
                <w:rFonts w:ascii="Times New Roman" w:hAnsi="Times New Roman"/>
              </w:rPr>
              <w:t xml:space="preserve">картица конта 631 919), од чега је: 847.243,36 КМ за измирење обавеза по кредиту  АД“Водовод и канализација“, 268.728,11 КМ за измирење обавеза по кредиту ЈП “Еко-деп“,  </w:t>
            </w:r>
          </w:p>
          <w:p w:rsidR="009F1766" w:rsidRPr="005114E4" w:rsidRDefault="009F1766" w:rsidP="00385BB8">
            <w:pPr>
              <w:spacing w:after="0" w:line="240" w:lineRule="auto"/>
              <w:ind w:left="-45" w:right="-108" w:hanging="90"/>
              <w:jc w:val="center"/>
              <w:rPr>
                <w:rFonts w:ascii="Times New Roman" w:hAnsi="Times New Roman"/>
              </w:rPr>
            </w:pPr>
            <w:r w:rsidRPr="005114E4">
              <w:rPr>
                <w:rFonts w:ascii="Times New Roman" w:hAnsi="Times New Roman"/>
              </w:rPr>
              <w:t>112.472,39 КМ за об</w:t>
            </w:r>
            <w:r w:rsidRPr="005114E4">
              <w:rPr>
                <w:rFonts w:ascii="Times New Roman" w:hAnsi="Times New Roman"/>
                <w:lang w:val="sr-Cyrl-BA"/>
              </w:rPr>
              <w:t>а</w:t>
            </w:r>
            <w:r w:rsidRPr="005114E4">
              <w:rPr>
                <w:rFonts w:ascii="Times New Roman" w:hAnsi="Times New Roman"/>
              </w:rPr>
              <w:t>везе ЈУ „Бања Дворови“</w:t>
            </w:r>
          </w:p>
          <w:p w:rsidR="009F1766" w:rsidRPr="005114E4" w:rsidRDefault="009F1766" w:rsidP="00385BB8">
            <w:pPr>
              <w:spacing w:after="0" w:line="240" w:lineRule="auto"/>
              <w:rPr>
                <w:rFonts w:ascii="Times New Roman" w:hAnsi="Times New Roman"/>
              </w:rPr>
            </w:pPr>
            <w:r w:rsidRPr="005114E4">
              <w:rPr>
                <w:rFonts w:ascii="Times New Roman" w:hAnsi="Times New Roman"/>
              </w:rPr>
              <w:t>и 10.144,89 КМ за поврат по Рјешењима Пор</w:t>
            </w:r>
            <w:r w:rsidRPr="005114E4">
              <w:rPr>
                <w:rFonts w:ascii="Times New Roman" w:hAnsi="Times New Roman"/>
                <w:lang w:val="sr-Cyrl-BA"/>
              </w:rPr>
              <w:t>еске</w:t>
            </w:r>
            <w:r w:rsidRPr="005114E4">
              <w:rPr>
                <w:rFonts w:ascii="Times New Roman" w:hAnsi="Times New Roman"/>
              </w:rPr>
              <w:t xml:space="preserve"> управе.</w:t>
            </w:r>
          </w:p>
        </w:tc>
      </w:tr>
      <w:tr w:rsidR="009F1766" w:rsidRPr="005114E4" w:rsidTr="00385BB8">
        <w:tc>
          <w:tcPr>
            <w:tcW w:w="421"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t>05.</w:t>
            </w:r>
          </w:p>
        </w:tc>
        <w:tc>
          <w:tcPr>
            <w:tcW w:w="1417" w:type="dxa"/>
            <w:shd w:val="clear" w:color="auto" w:fill="auto"/>
            <w:vAlign w:val="center"/>
          </w:tcPr>
          <w:p w:rsidR="009F1766" w:rsidRPr="005114E4" w:rsidRDefault="009F1766" w:rsidP="00385BB8">
            <w:pPr>
              <w:spacing w:before="80" w:after="80" w:line="240" w:lineRule="auto"/>
              <w:jc w:val="center"/>
              <w:rPr>
                <w:rFonts w:ascii="Times New Roman" w:hAnsi="Times New Roman"/>
              </w:rPr>
            </w:pPr>
            <w:r w:rsidRPr="005114E4">
              <w:rPr>
                <w:rFonts w:ascii="Times New Roman" w:hAnsi="Times New Roman"/>
              </w:rPr>
              <w:t>Препорука број 5.</w:t>
            </w:r>
          </w:p>
        </w:tc>
        <w:tc>
          <w:tcPr>
            <w:tcW w:w="4820" w:type="dxa"/>
            <w:shd w:val="clear" w:color="auto" w:fill="auto"/>
          </w:tcPr>
          <w:p w:rsidR="009F1766" w:rsidRPr="005114E4" w:rsidRDefault="009F1766" w:rsidP="00385BB8">
            <w:pPr>
              <w:spacing w:after="0" w:line="240" w:lineRule="auto"/>
              <w:ind w:right="-108"/>
              <w:jc w:val="both"/>
              <w:rPr>
                <w:rFonts w:ascii="Times New Roman" w:hAnsi="Times New Roman"/>
              </w:rPr>
            </w:pPr>
            <w:r w:rsidRPr="005114E4">
              <w:rPr>
                <w:rFonts w:ascii="Times New Roman" w:hAnsi="Times New Roman"/>
              </w:rPr>
              <w:t xml:space="preserve">Обрачун амортизације вршити за средства у употреби у складу са МРС ЈС 17-Некретнине, постројења и опрема (параграф 71) и чланом 26. </w:t>
            </w:r>
            <w:proofErr w:type="gramStart"/>
            <w:r w:rsidRPr="005114E4">
              <w:rPr>
                <w:rFonts w:ascii="Times New Roman" w:hAnsi="Times New Roman"/>
              </w:rPr>
              <w:t>став</w:t>
            </w:r>
            <w:proofErr w:type="gramEnd"/>
            <w:r w:rsidRPr="005114E4">
              <w:rPr>
                <w:rFonts w:ascii="Times New Roman" w:hAnsi="Times New Roman"/>
              </w:rPr>
              <w:t xml:space="preserve"> (4) Правилника о рачуноводству, рачуноводственим политикама и рач</w:t>
            </w:r>
            <w:r w:rsidRPr="005114E4">
              <w:rPr>
                <w:rFonts w:ascii="Times New Roman" w:hAnsi="Times New Roman"/>
                <w:lang w:val="sr-Cyrl-BA"/>
              </w:rPr>
              <w:t>.</w:t>
            </w:r>
            <w:r w:rsidRPr="005114E4">
              <w:rPr>
                <w:rFonts w:ascii="Times New Roman" w:hAnsi="Times New Roman"/>
              </w:rPr>
              <w:t xml:space="preserve"> </w:t>
            </w:r>
            <w:proofErr w:type="gramStart"/>
            <w:r w:rsidRPr="005114E4">
              <w:rPr>
                <w:rFonts w:ascii="Times New Roman" w:hAnsi="Times New Roman"/>
              </w:rPr>
              <w:t>процјенама</w:t>
            </w:r>
            <w:proofErr w:type="gramEnd"/>
            <w:r w:rsidRPr="005114E4">
              <w:rPr>
                <w:rFonts w:ascii="Times New Roman" w:hAnsi="Times New Roman"/>
              </w:rPr>
              <w:t xml:space="preserve"> за буџетске кориснике.</w:t>
            </w:r>
          </w:p>
        </w:tc>
        <w:tc>
          <w:tcPr>
            <w:tcW w:w="1417" w:type="dxa"/>
            <w:shd w:val="clear" w:color="auto" w:fill="auto"/>
            <w:vAlign w:val="center"/>
          </w:tcPr>
          <w:p w:rsidR="009F1766" w:rsidRPr="005114E4" w:rsidRDefault="009F1766" w:rsidP="00385BB8">
            <w:pPr>
              <w:spacing w:before="80" w:after="80" w:line="240" w:lineRule="auto"/>
              <w:jc w:val="center"/>
              <w:rPr>
                <w:rFonts w:ascii="Times New Roman" w:hAnsi="Times New Roman"/>
              </w:rPr>
            </w:pPr>
            <w:r w:rsidRPr="005114E4">
              <w:rPr>
                <w:rFonts w:ascii="Times New Roman" w:hAnsi="Times New Roman"/>
              </w:rPr>
              <w:t>Одјељење за финансије</w:t>
            </w:r>
          </w:p>
        </w:tc>
        <w:tc>
          <w:tcPr>
            <w:tcW w:w="2410" w:type="dxa"/>
            <w:shd w:val="clear" w:color="auto" w:fill="auto"/>
            <w:vAlign w:val="center"/>
          </w:tcPr>
          <w:p w:rsidR="009F1766" w:rsidRPr="005114E4" w:rsidRDefault="009F1766" w:rsidP="00385BB8">
            <w:pPr>
              <w:spacing w:before="80" w:after="80" w:line="240" w:lineRule="auto"/>
              <w:jc w:val="center"/>
              <w:rPr>
                <w:rFonts w:ascii="Times New Roman" w:hAnsi="Times New Roman"/>
              </w:rPr>
            </w:pPr>
            <w:r w:rsidRPr="005114E4">
              <w:rPr>
                <w:rFonts w:ascii="Times New Roman" w:hAnsi="Times New Roman"/>
              </w:rPr>
              <w:t>континуирано</w:t>
            </w:r>
          </w:p>
        </w:tc>
        <w:tc>
          <w:tcPr>
            <w:tcW w:w="4383" w:type="dxa"/>
            <w:shd w:val="clear" w:color="auto" w:fill="auto"/>
            <w:vAlign w:val="center"/>
          </w:tcPr>
          <w:p w:rsidR="009F1766" w:rsidRPr="005114E4" w:rsidRDefault="009F1766" w:rsidP="00385BB8">
            <w:pPr>
              <w:spacing w:after="0" w:line="240" w:lineRule="auto"/>
              <w:ind w:left="-135" w:firstLine="90"/>
              <w:jc w:val="both"/>
              <w:rPr>
                <w:rFonts w:ascii="Times New Roman" w:hAnsi="Times New Roman"/>
              </w:rPr>
            </w:pPr>
            <w:r w:rsidRPr="005114E4">
              <w:rPr>
                <w:rFonts w:ascii="Times New Roman" w:hAnsi="Times New Roman"/>
              </w:rPr>
              <w:t xml:space="preserve">Препорука је спровeдена у 2021. г. </w:t>
            </w:r>
            <w:proofErr w:type="gramStart"/>
            <w:r w:rsidRPr="005114E4">
              <w:rPr>
                <w:rFonts w:ascii="Times New Roman" w:hAnsi="Times New Roman"/>
              </w:rPr>
              <w:t>везано</w:t>
            </w:r>
            <w:proofErr w:type="gramEnd"/>
            <w:r w:rsidRPr="005114E4">
              <w:rPr>
                <w:rFonts w:ascii="Times New Roman" w:hAnsi="Times New Roman"/>
              </w:rPr>
              <w:t xml:space="preserve"> за трансакције из тог периода  (доказ: налог 271/21 и аналитичка картице).</w:t>
            </w:r>
          </w:p>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Убудуће ће се водити рачуна о активирању средстава у складу са МРС ЈС 17, како би се правилно обрачунавала амортизација.</w:t>
            </w:r>
          </w:p>
        </w:tc>
      </w:tr>
      <w:tr w:rsidR="009F1766" w:rsidRPr="005114E4" w:rsidTr="00385BB8">
        <w:trPr>
          <w:trHeight w:val="1549"/>
        </w:trPr>
        <w:tc>
          <w:tcPr>
            <w:tcW w:w="421"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t>06.</w:t>
            </w:r>
          </w:p>
        </w:tc>
        <w:tc>
          <w:tcPr>
            <w:tcW w:w="1417" w:type="dxa"/>
            <w:shd w:val="clear" w:color="auto" w:fill="auto"/>
            <w:vAlign w:val="center"/>
          </w:tcPr>
          <w:p w:rsidR="009F1766" w:rsidRPr="005114E4" w:rsidRDefault="009F1766" w:rsidP="00385BB8">
            <w:pPr>
              <w:spacing w:before="80" w:after="80" w:line="240" w:lineRule="auto"/>
              <w:jc w:val="center"/>
              <w:rPr>
                <w:rFonts w:ascii="Times New Roman" w:hAnsi="Times New Roman"/>
              </w:rPr>
            </w:pPr>
            <w:r w:rsidRPr="005114E4">
              <w:rPr>
                <w:rFonts w:ascii="Times New Roman" w:hAnsi="Times New Roman"/>
              </w:rPr>
              <w:t>Препорука број 6.</w:t>
            </w:r>
          </w:p>
        </w:tc>
        <w:tc>
          <w:tcPr>
            <w:tcW w:w="4820" w:type="dxa"/>
            <w:shd w:val="clear" w:color="auto" w:fill="auto"/>
          </w:tcPr>
          <w:p w:rsidR="009F1766" w:rsidRPr="005114E4" w:rsidRDefault="009F1766" w:rsidP="00385BB8">
            <w:pPr>
              <w:spacing w:after="0" w:line="240" w:lineRule="auto"/>
              <w:ind w:right="-108"/>
              <w:jc w:val="both"/>
              <w:rPr>
                <w:rFonts w:ascii="Times New Roman" w:hAnsi="Times New Roman"/>
              </w:rPr>
            </w:pPr>
            <w:r w:rsidRPr="005114E4">
              <w:rPr>
                <w:rFonts w:ascii="Times New Roman" w:hAnsi="Times New Roman"/>
              </w:rPr>
              <w:t xml:space="preserve">Евидентирање потраживања која доспијевају у периоду до годину дана од датума извјештавања вршити у складу са чланом 68. </w:t>
            </w:r>
            <w:proofErr w:type="gramStart"/>
            <w:r w:rsidRPr="005114E4">
              <w:rPr>
                <w:rFonts w:ascii="Times New Roman" w:hAnsi="Times New Roman"/>
              </w:rPr>
              <w:t>став</w:t>
            </w:r>
            <w:proofErr w:type="gramEnd"/>
            <w:r w:rsidRPr="005114E4">
              <w:rPr>
                <w:rFonts w:ascii="Times New Roman" w:hAnsi="Times New Roman"/>
              </w:rPr>
              <w:t xml:space="preserve"> (6) Правилника о буџетским класификацијама, садржини рачуна и примјени контног плана за буџетске кориснике.</w:t>
            </w:r>
          </w:p>
        </w:tc>
        <w:tc>
          <w:tcPr>
            <w:tcW w:w="1417" w:type="dxa"/>
            <w:shd w:val="clear" w:color="auto" w:fill="auto"/>
            <w:vAlign w:val="center"/>
          </w:tcPr>
          <w:p w:rsidR="009F1766" w:rsidRPr="005114E4" w:rsidRDefault="009F1766" w:rsidP="00385BB8">
            <w:pPr>
              <w:spacing w:before="80" w:after="80" w:line="240" w:lineRule="auto"/>
              <w:jc w:val="center"/>
              <w:rPr>
                <w:rFonts w:ascii="Times New Roman" w:hAnsi="Times New Roman"/>
              </w:rPr>
            </w:pPr>
          </w:p>
          <w:p w:rsidR="009F1766" w:rsidRPr="005114E4" w:rsidRDefault="009F1766" w:rsidP="00385BB8">
            <w:pPr>
              <w:spacing w:before="80" w:after="80" w:line="240" w:lineRule="auto"/>
              <w:jc w:val="center"/>
              <w:rPr>
                <w:rFonts w:ascii="Times New Roman" w:hAnsi="Times New Roman"/>
              </w:rPr>
            </w:pPr>
            <w:r w:rsidRPr="005114E4">
              <w:rPr>
                <w:rFonts w:ascii="Times New Roman" w:hAnsi="Times New Roman"/>
              </w:rPr>
              <w:t>Одјељење за финансије</w:t>
            </w:r>
          </w:p>
        </w:tc>
        <w:tc>
          <w:tcPr>
            <w:tcW w:w="2410" w:type="dxa"/>
            <w:shd w:val="clear" w:color="auto" w:fill="auto"/>
            <w:vAlign w:val="center"/>
          </w:tcPr>
          <w:p w:rsidR="009F1766" w:rsidRPr="005114E4" w:rsidRDefault="009F1766" w:rsidP="00385BB8">
            <w:pPr>
              <w:spacing w:before="80" w:after="80" w:line="240" w:lineRule="auto"/>
              <w:jc w:val="center"/>
              <w:rPr>
                <w:rFonts w:ascii="Times New Roman" w:hAnsi="Times New Roman"/>
              </w:rPr>
            </w:pPr>
            <w:r w:rsidRPr="005114E4">
              <w:rPr>
                <w:rFonts w:ascii="Times New Roman" w:hAnsi="Times New Roman"/>
              </w:rPr>
              <w:t>континуирано</w:t>
            </w:r>
          </w:p>
        </w:tc>
        <w:tc>
          <w:tcPr>
            <w:tcW w:w="4383" w:type="dxa"/>
            <w:shd w:val="clear" w:color="auto" w:fill="auto"/>
            <w:vAlign w:val="center"/>
          </w:tcPr>
          <w:p w:rsidR="009F1766" w:rsidRDefault="009F1766" w:rsidP="00385BB8">
            <w:pPr>
              <w:spacing w:before="80" w:after="80" w:line="240" w:lineRule="auto"/>
              <w:jc w:val="both"/>
              <w:rPr>
                <w:rFonts w:ascii="Times New Roman" w:hAnsi="Times New Roman"/>
              </w:rPr>
            </w:pPr>
            <w:r>
              <w:rPr>
                <w:rFonts w:ascii="Times New Roman" w:hAnsi="Times New Roman"/>
              </w:rPr>
              <w:t>Препорука је</w:t>
            </w:r>
            <w:r>
              <w:rPr>
                <w:rFonts w:ascii="Times New Roman" w:hAnsi="Times New Roman"/>
                <w:lang w:val="sr-Cyrl-BA"/>
              </w:rPr>
              <w:t xml:space="preserve"> реализована у мјери која се односи на</w:t>
            </w:r>
            <w:r w:rsidRPr="005114E4">
              <w:rPr>
                <w:rFonts w:ascii="Times New Roman" w:hAnsi="Times New Roman"/>
                <w:lang w:val="sr-Cyrl-BA"/>
              </w:rPr>
              <w:t xml:space="preserve"> Записник</w:t>
            </w:r>
            <w:r>
              <w:rPr>
                <w:rFonts w:ascii="Times New Roman" w:hAnsi="Times New Roman"/>
                <w:lang w:val="sr-Cyrl-BA"/>
              </w:rPr>
              <w:t>е</w:t>
            </w:r>
            <w:r w:rsidRPr="005114E4">
              <w:rPr>
                <w:rFonts w:ascii="Times New Roman" w:hAnsi="Times New Roman"/>
                <w:lang w:val="sr-Cyrl-BA"/>
              </w:rPr>
              <w:t xml:space="preserve"> Пореске управе у оквиру </w:t>
            </w:r>
            <w:proofErr w:type="gramStart"/>
            <w:r w:rsidRPr="005114E4">
              <w:rPr>
                <w:rFonts w:ascii="Times New Roman" w:hAnsi="Times New Roman"/>
                <w:lang w:val="sr-Cyrl-BA"/>
              </w:rPr>
              <w:t>израде  ФИ</w:t>
            </w:r>
            <w:proofErr w:type="gramEnd"/>
            <w:r w:rsidRPr="005114E4">
              <w:rPr>
                <w:rFonts w:ascii="Times New Roman" w:hAnsi="Times New Roman"/>
                <w:lang w:val="sr-Cyrl-BA"/>
              </w:rPr>
              <w:t xml:space="preserve"> за </w:t>
            </w:r>
            <w:r w:rsidRPr="005114E4">
              <w:rPr>
                <w:rFonts w:ascii="Times New Roman" w:hAnsi="Times New Roman"/>
              </w:rPr>
              <w:t xml:space="preserve"> 2021. </w:t>
            </w:r>
            <w:r>
              <w:rPr>
                <w:rFonts w:ascii="Times New Roman" w:hAnsi="Times New Roman"/>
              </w:rPr>
              <w:t>године</w:t>
            </w:r>
            <w:r w:rsidRPr="005114E4">
              <w:rPr>
                <w:rFonts w:ascii="Times New Roman" w:hAnsi="Times New Roman"/>
              </w:rPr>
              <w:t>. У наредним годинама водиће се рачуна да се испоштују правила евидентирања потраживања, у зависности од рочности.</w:t>
            </w:r>
          </w:p>
          <w:p w:rsidR="009F1766" w:rsidRPr="005114E4" w:rsidRDefault="009F1766" w:rsidP="00385BB8">
            <w:pPr>
              <w:spacing w:before="80" w:after="80" w:line="240" w:lineRule="auto"/>
              <w:jc w:val="both"/>
              <w:rPr>
                <w:rFonts w:ascii="Times New Roman" w:hAnsi="Times New Roman"/>
              </w:rPr>
            </w:pPr>
          </w:p>
        </w:tc>
      </w:tr>
      <w:tr w:rsidR="009F1766" w:rsidRPr="005114E4" w:rsidTr="00385BB8">
        <w:tc>
          <w:tcPr>
            <w:tcW w:w="421"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t>07.</w:t>
            </w:r>
          </w:p>
        </w:tc>
        <w:tc>
          <w:tcPr>
            <w:tcW w:w="1417" w:type="dxa"/>
            <w:shd w:val="clear" w:color="auto" w:fill="auto"/>
            <w:vAlign w:val="center"/>
          </w:tcPr>
          <w:p w:rsidR="009F1766" w:rsidRPr="005114E4" w:rsidRDefault="009F1766" w:rsidP="00385BB8">
            <w:pPr>
              <w:spacing w:before="80" w:after="80" w:line="240" w:lineRule="auto"/>
              <w:jc w:val="center"/>
              <w:rPr>
                <w:rFonts w:ascii="Times New Roman" w:hAnsi="Times New Roman"/>
              </w:rPr>
            </w:pPr>
            <w:r w:rsidRPr="005114E4">
              <w:rPr>
                <w:rFonts w:ascii="Times New Roman" w:hAnsi="Times New Roman"/>
              </w:rPr>
              <w:t>Препорука број 7.</w:t>
            </w:r>
          </w:p>
        </w:tc>
        <w:tc>
          <w:tcPr>
            <w:tcW w:w="4820" w:type="dxa"/>
            <w:shd w:val="clear" w:color="auto" w:fill="auto"/>
            <w:vAlign w:val="center"/>
          </w:tcPr>
          <w:p w:rsidR="009F1766" w:rsidRPr="005114E4" w:rsidRDefault="009F1766" w:rsidP="00385BB8">
            <w:pPr>
              <w:spacing w:after="0" w:line="240" w:lineRule="auto"/>
              <w:ind w:right="-108"/>
              <w:jc w:val="both"/>
              <w:rPr>
                <w:rFonts w:ascii="Times New Roman" w:hAnsi="Times New Roman"/>
              </w:rPr>
            </w:pPr>
            <w:r w:rsidRPr="005114E4">
              <w:rPr>
                <w:rFonts w:ascii="Times New Roman" w:hAnsi="Times New Roman"/>
              </w:rPr>
              <w:t>Краткорочно разграничене расходе евидентирати по основу издатака који ће у наредном периоду постати расходи у складу са чланом 69. став (2) Правилника о буџетским класификацијама, садржини рачуна и примјени контног плана за буџетске кориснике.</w:t>
            </w:r>
          </w:p>
        </w:tc>
        <w:tc>
          <w:tcPr>
            <w:tcW w:w="1417" w:type="dxa"/>
            <w:shd w:val="clear" w:color="auto" w:fill="auto"/>
            <w:vAlign w:val="center"/>
          </w:tcPr>
          <w:p w:rsidR="009F1766" w:rsidRPr="005114E4" w:rsidRDefault="009F1766" w:rsidP="00385BB8">
            <w:pPr>
              <w:spacing w:before="80" w:after="80" w:line="240" w:lineRule="auto"/>
              <w:jc w:val="center"/>
              <w:rPr>
                <w:rFonts w:ascii="Times New Roman" w:hAnsi="Times New Roman"/>
              </w:rPr>
            </w:pPr>
            <w:r w:rsidRPr="005114E4">
              <w:rPr>
                <w:rFonts w:ascii="Times New Roman" w:hAnsi="Times New Roman"/>
              </w:rPr>
              <w:t>Одјељење за финансије</w:t>
            </w:r>
          </w:p>
        </w:tc>
        <w:tc>
          <w:tcPr>
            <w:tcW w:w="2410" w:type="dxa"/>
            <w:shd w:val="clear" w:color="auto" w:fill="auto"/>
            <w:vAlign w:val="center"/>
          </w:tcPr>
          <w:p w:rsidR="009F1766" w:rsidRPr="005114E4" w:rsidRDefault="009F1766" w:rsidP="00385BB8">
            <w:pPr>
              <w:spacing w:before="80" w:after="80" w:line="240" w:lineRule="auto"/>
              <w:jc w:val="center"/>
              <w:rPr>
                <w:rFonts w:ascii="Times New Roman" w:hAnsi="Times New Roman"/>
              </w:rPr>
            </w:pPr>
            <w:r w:rsidRPr="005114E4">
              <w:rPr>
                <w:rFonts w:ascii="Times New Roman" w:hAnsi="Times New Roman"/>
              </w:rPr>
              <w:t xml:space="preserve">континуирано </w:t>
            </w:r>
          </w:p>
          <w:p w:rsidR="009F1766" w:rsidRPr="005114E4" w:rsidRDefault="009F1766" w:rsidP="00385BB8">
            <w:pPr>
              <w:spacing w:before="80" w:after="80" w:line="240" w:lineRule="auto"/>
              <w:jc w:val="center"/>
              <w:rPr>
                <w:rFonts w:ascii="Times New Roman" w:hAnsi="Times New Roman"/>
              </w:rPr>
            </w:pPr>
          </w:p>
        </w:tc>
        <w:tc>
          <w:tcPr>
            <w:tcW w:w="4383" w:type="dxa"/>
            <w:shd w:val="clear" w:color="auto" w:fill="auto"/>
            <w:vAlign w:val="center"/>
          </w:tcPr>
          <w:p w:rsidR="009F1766" w:rsidRPr="005114E4" w:rsidRDefault="009F1766" w:rsidP="00385BB8">
            <w:pPr>
              <w:spacing w:before="80" w:after="80" w:line="240" w:lineRule="auto"/>
              <w:jc w:val="both"/>
              <w:rPr>
                <w:rFonts w:ascii="Times New Roman" w:hAnsi="Times New Roman"/>
                <w:lang w:val="sr-Cyrl-BA"/>
              </w:rPr>
            </w:pPr>
            <w:r w:rsidRPr="005114E4">
              <w:rPr>
                <w:rFonts w:ascii="Times New Roman" w:hAnsi="Times New Roman"/>
              </w:rPr>
              <w:t xml:space="preserve">Препорука </w:t>
            </w:r>
            <w:proofErr w:type="gramStart"/>
            <w:r w:rsidRPr="005114E4">
              <w:rPr>
                <w:rFonts w:ascii="Times New Roman" w:hAnsi="Times New Roman"/>
              </w:rPr>
              <w:t>спровeдена  у</w:t>
            </w:r>
            <w:proofErr w:type="gramEnd"/>
            <w:r w:rsidRPr="005114E4">
              <w:rPr>
                <w:rFonts w:ascii="Times New Roman" w:hAnsi="Times New Roman"/>
              </w:rPr>
              <w:t xml:space="preserve"> 2021. </w:t>
            </w:r>
            <w:proofErr w:type="gramStart"/>
            <w:r w:rsidRPr="005114E4">
              <w:rPr>
                <w:rFonts w:ascii="Times New Roman" w:hAnsi="Times New Roman"/>
              </w:rPr>
              <w:t>години</w:t>
            </w:r>
            <w:proofErr w:type="gramEnd"/>
            <w:r w:rsidRPr="005114E4">
              <w:rPr>
                <w:rFonts w:ascii="Times New Roman" w:hAnsi="Times New Roman"/>
              </w:rPr>
              <w:t xml:space="preserve"> везано за трансакције из тог периода</w:t>
            </w:r>
            <w:r w:rsidRPr="005114E4">
              <w:rPr>
                <w:rFonts w:ascii="Times New Roman" w:hAnsi="Times New Roman"/>
                <w:lang w:val="sr-Cyrl-BA"/>
              </w:rPr>
              <w:t xml:space="preserve">. </w:t>
            </w:r>
          </w:p>
          <w:p w:rsidR="009F1766" w:rsidRPr="005114E4" w:rsidRDefault="009F1766" w:rsidP="00385BB8">
            <w:pPr>
              <w:spacing w:before="80" w:after="80" w:line="240" w:lineRule="auto"/>
              <w:jc w:val="both"/>
              <w:rPr>
                <w:rFonts w:ascii="Times New Roman" w:hAnsi="Times New Roman"/>
              </w:rPr>
            </w:pPr>
            <w:r w:rsidRPr="005114E4">
              <w:rPr>
                <w:rFonts w:ascii="Times New Roman" w:hAnsi="Times New Roman"/>
                <w:lang w:val="sr-Cyrl-BA"/>
              </w:rPr>
              <w:t xml:space="preserve">У наредном периоду ће се водити рачуна да се неправилности у евидентирању кратко-рочно разграничених расхода не понављају. </w:t>
            </w:r>
          </w:p>
        </w:tc>
      </w:tr>
      <w:tr w:rsidR="009F1766" w:rsidRPr="005114E4" w:rsidTr="00385BB8">
        <w:trPr>
          <w:trHeight w:val="50"/>
        </w:trPr>
        <w:tc>
          <w:tcPr>
            <w:tcW w:w="421"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t>08.</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8.</w:t>
            </w:r>
          </w:p>
        </w:tc>
        <w:tc>
          <w:tcPr>
            <w:tcW w:w="4820" w:type="dxa"/>
            <w:shd w:val="clear" w:color="auto" w:fill="auto"/>
            <w:vAlign w:val="center"/>
          </w:tcPr>
          <w:p w:rsidR="009F1766" w:rsidRPr="005114E4" w:rsidRDefault="009F1766" w:rsidP="00385BB8">
            <w:pPr>
              <w:spacing w:after="0" w:line="240" w:lineRule="auto"/>
              <w:ind w:left="-115" w:right="-115"/>
              <w:jc w:val="both"/>
              <w:rPr>
                <w:rFonts w:ascii="Times New Roman" w:hAnsi="Times New Roman"/>
              </w:rPr>
            </w:pPr>
            <w:r w:rsidRPr="005114E4">
              <w:rPr>
                <w:rFonts w:ascii="Times New Roman" w:hAnsi="Times New Roman"/>
              </w:rPr>
              <w:t>У оквиру акција и учешћа у капиталу по основу оснивачког улога у ЈП „Воде</w:t>
            </w:r>
            <w:proofErr w:type="gramStart"/>
            <w:r w:rsidRPr="005114E4">
              <w:rPr>
                <w:rFonts w:ascii="Times New Roman" w:hAnsi="Times New Roman"/>
              </w:rPr>
              <w:t>“  извршити</w:t>
            </w:r>
            <w:proofErr w:type="gramEnd"/>
            <w:r w:rsidRPr="005114E4">
              <w:rPr>
                <w:rFonts w:ascii="Times New Roman" w:hAnsi="Times New Roman"/>
              </w:rPr>
              <w:t xml:space="preserve"> евидентирање у склааду са чланом 61. </w:t>
            </w:r>
            <w:proofErr w:type="gramStart"/>
            <w:r w:rsidRPr="005114E4">
              <w:rPr>
                <w:rFonts w:ascii="Times New Roman" w:hAnsi="Times New Roman"/>
              </w:rPr>
              <w:t>став</w:t>
            </w:r>
            <w:proofErr w:type="gramEnd"/>
            <w:r w:rsidRPr="005114E4">
              <w:rPr>
                <w:rFonts w:ascii="Times New Roman" w:hAnsi="Times New Roman"/>
              </w:rPr>
              <w:t xml:space="preserve"> (4) Правилника о буџ</w:t>
            </w:r>
            <w:r w:rsidRPr="005114E4">
              <w:rPr>
                <w:rFonts w:ascii="Times New Roman" w:hAnsi="Times New Roman"/>
                <w:lang w:val="sr-Cyrl-BA"/>
              </w:rPr>
              <w:t>етским</w:t>
            </w:r>
            <w:r w:rsidRPr="005114E4">
              <w:rPr>
                <w:rFonts w:ascii="Times New Roman" w:hAnsi="Times New Roman"/>
              </w:rPr>
              <w:t xml:space="preserve"> класификацијама, садржини рачуна и примјени контног плана за буџ</w:t>
            </w:r>
            <w:r w:rsidRPr="005114E4">
              <w:rPr>
                <w:rFonts w:ascii="Times New Roman" w:hAnsi="Times New Roman"/>
                <w:lang w:val="sr-Cyrl-BA"/>
              </w:rPr>
              <w:t>.</w:t>
            </w:r>
            <w:r w:rsidRPr="005114E4">
              <w:rPr>
                <w:rFonts w:ascii="Times New Roman" w:hAnsi="Times New Roman"/>
              </w:rPr>
              <w:t xml:space="preserve"> </w:t>
            </w:r>
            <w:proofErr w:type="gramStart"/>
            <w:r w:rsidRPr="005114E4">
              <w:rPr>
                <w:rFonts w:ascii="Times New Roman" w:hAnsi="Times New Roman"/>
              </w:rPr>
              <w:t>кориснике</w:t>
            </w:r>
            <w:proofErr w:type="gramEnd"/>
            <w:r w:rsidRPr="005114E4">
              <w:rPr>
                <w:rFonts w:ascii="Times New Roman" w:hAnsi="Times New Roman"/>
              </w:rPr>
              <w:t xml:space="preserve"> и чланом 78. Правилника о рачуноводству, рач. </w:t>
            </w:r>
            <w:proofErr w:type="gramStart"/>
            <w:r w:rsidRPr="005114E4">
              <w:rPr>
                <w:rFonts w:ascii="Times New Roman" w:hAnsi="Times New Roman"/>
              </w:rPr>
              <w:t>политикама</w:t>
            </w:r>
            <w:proofErr w:type="gramEnd"/>
            <w:r w:rsidRPr="005114E4">
              <w:rPr>
                <w:rFonts w:ascii="Times New Roman" w:hAnsi="Times New Roman"/>
              </w:rPr>
              <w:t xml:space="preserve"> и рачуноводственим процјенама за буџ.</w:t>
            </w:r>
            <w:r w:rsidRPr="005114E4">
              <w:rPr>
                <w:rFonts w:ascii="Times New Roman" w:hAnsi="Times New Roman"/>
                <w:lang w:val="sr-Cyrl-BA"/>
              </w:rPr>
              <w:t xml:space="preserve"> </w:t>
            </w:r>
            <w:proofErr w:type="gramStart"/>
            <w:r w:rsidRPr="005114E4">
              <w:rPr>
                <w:rFonts w:ascii="Times New Roman" w:hAnsi="Times New Roman"/>
              </w:rPr>
              <w:t>кориснике</w:t>
            </w:r>
            <w:proofErr w:type="gramEnd"/>
            <w:r w:rsidRPr="005114E4">
              <w:rPr>
                <w:rFonts w:ascii="Times New Roman" w:hAnsi="Times New Roman"/>
              </w:rPr>
              <w:t>.</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Одјељење за финансије</w:t>
            </w:r>
          </w:p>
        </w:tc>
        <w:tc>
          <w:tcPr>
            <w:tcW w:w="2410"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у року за израду Консолидованих финансијских извјештаја Града за 2021. годину</w:t>
            </w:r>
          </w:p>
        </w:tc>
        <w:tc>
          <w:tcPr>
            <w:tcW w:w="4383"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 xml:space="preserve">Препорука је реализована у </w:t>
            </w:r>
            <w:proofErr w:type="gramStart"/>
            <w:r w:rsidRPr="005114E4">
              <w:rPr>
                <w:rFonts w:ascii="Times New Roman" w:hAnsi="Times New Roman"/>
              </w:rPr>
              <w:t>дијелу  евидентирања</w:t>
            </w:r>
            <w:proofErr w:type="gramEnd"/>
            <w:r w:rsidRPr="005114E4">
              <w:rPr>
                <w:rFonts w:ascii="Times New Roman" w:hAnsi="Times New Roman"/>
              </w:rPr>
              <w:t xml:space="preserve">  оснивачког улога ЈП „Воде“ (</w:t>
            </w:r>
            <w:r w:rsidRPr="005114E4">
              <w:rPr>
                <w:rFonts w:ascii="Times New Roman" w:hAnsi="Times New Roman"/>
                <w:lang w:val="sr-Cyrl-BA"/>
              </w:rPr>
              <w:t>доказ -</w:t>
            </w:r>
            <w:r w:rsidRPr="005114E4">
              <w:rPr>
                <w:rFonts w:ascii="Times New Roman" w:hAnsi="Times New Roman"/>
              </w:rPr>
              <w:t xml:space="preserve"> Налог број 191/21 од 23.12.2021. г).</w:t>
            </w:r>
          </w:p>
          <w:p w:rsidR="009F1766" w:rsidRPr="005114E4" w:rsidRDefault="009F1766" w:rsidP="00385BB8">
            <w:pPr>
              <w:spacing w:before="120" w:after="120" w:line="240" w:lineRule="auto"/>
              <w:jc w:val="both"/>
              <w:rPr>
                <w:rFonts w:ascii="Times New Roman" w:hAnsi="Times New Roman"/>
              </w:rPr>
            </w:pPr>
            <w:r w:rsidRPr="005114E4">
              <w:rPr>
                <w:rFonts w:ascii="Times New Roman" w:hAnsi="Times New Roman"/>
              </w:rPr>
              <w:t xml:space="preserve">Консолидација </w:t>
            </w:r>
            <w:r>
              <w:rPr>
                <w:rFonts w:ascii="Times New Roman" w:hAnsi="Times New Roman"/>
              </w:rPr>
              <w:t xml:space="preserve">ФИ овог субјекта </w:t>
            </w:r>
            <w:proofErr w:type="gramStart"/>
            <w:r>
              <w:rPr>
                <w:rFonts w:ascii="Times New Roman" w:hAnsi="Times New Roman"/>
              </w:rPr>
              <w:t>је</w:t>
            </w:r>
            <w:r w:rsidRPr="005114E4">
              <w:rPr>
                <w:rFonts w:ascii="Times New Roman" w:hAnsi="Times New Roman"/>
              </w:rPr>
              <w:t xml:space="preserve"> </w:t>
            </w:r>
            <w:r>
              <w:rPr>
                <w:rFonts w:ascii="Times New Roman" w:hAnsi="Times New Roman"/>
              </w:rPr>
              <w:t xml:space="preserve"> извршена</w:t>
            </w:r>
            <w:proofErr w:type="gramEnd"/>
            <w:r w:rsidRPr="005114E4">
              <w:rPr>
                <w:rFonts w:ascii="Times New Roman" w:hAnsi="Times New Roman"/>
              </w:rPr>
              <w:t xml:space="preserve"> у року израде годишњих финанасијских извјештаја за 2021. годину.</w:t>
            </w:r>
          </w:p>
        </w:tc>
      </w:tr>
      <w:tr w:rsidR="009F1766" w:rsidRPr="005114E4" w:rsidTr="00385BB8">
        <w:tc>
          <w:tcPr>
            <w:tcW w:w="421"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t>09.</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9.</w:t>
            </w:r>
          </w:p>
        </w:tc>
        <w:tc>
          <w:tcPr>
            <w:tcW w:w="4820" w:type="dxa"/>
            <w:shd w:val="clear" w:color="auto" w:fill="auto"/>
            <w:vAlign w:val="center"/>
          </w:tcPr>
          <w:p w:rsidR="009F1766" w:rsidRPr="005114E4" w:rsidRDefault="009F1766" w:rsidP="00385BB8">
            <w:pPr>
              <w:spacing w:after="0" w:line="240" w:lineRule="auto"/>
              <w:ind w:right="-101"/>
              <w:jc w:val="both"/>
              <w:rPr>
                <w:rFonts w:ascii="Times New Roman" w:hAnsi="Times New Roman"/>
              </w:rPr>
            </w:pPr>
            <w:r w:rsidRPr="005114E4">
              <w:rPr>
                <w:rFonts w:ascii="Times New Roman" w:hAnsi="Times New Roman"/>
              </w:rPr>
              <w:t>Биланс новчаних токова саставити у складу са чланом 42. Правилника о финансијском извјештавању буџетских корисника и са Захтјевом МРС ЈС 2 - Извјештаји о новчаним токовима (параграфи 18, 22, 25 и 26).</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Одјељење за финансије</w:t>
            </w:r>
          </w:p>
        </w:tc>
        <w:tc>
          <w:tcPr>
            <w:tcW w:w="2410" w:type="dxa"/>
            <w:shd w:val="clear" w:color="auto" w:fill="auto"/>
            <w:vAlign w:val="center"/>
          </w:tcPr>
          <w:p w:rsidR="009F1766" w:rsidRPr="005114E4" w:rsidRDefault="009F1766" w:rsidP="00385BB8">
            <w:pPr>
              <w:spacing w:after="0" w:line="240" w:lineRule="auto"/>
              <w:ind w:right="-108"/>
              <w:jc w:val="center"/>
              <w:rPr>
                <w:rFonts w:ascii="Times New Roman" w:hAnsi="Times New Roman"/>
                <w:lang w:val="sr-Cyrl-BA"/>
              </w:rPr>
            </w:pPr>
            <w:r w:rsidRPr="005114E4">
              <w:rPr>
                <w:rFonts w:ascii="Times New Roman" w:hAnsi="Times New Roman"/>
              </w:rPr>
              <w:t xml:space="preserve">у року за израду Консолидованих финансијских извјештаја Града за 2021. </w:t>
            </w:r>
            <w:r w:rsidRPr="005114E4">
              <w:rPr>
                <w:rFonts w:ascii="Times New Roman" w:hAnsi="Times New Roman"/>
                <w:lang w:val="sr-Cyrl-BA"/>
              </w:rPr>
              <w:t>г.</w:t>
            </w:r>
          </w:p>
        </w:tc>
        <w:tc>
          <w:tcPr>
            <w:tcW w:w="4383" w:type="dxa"/>
            <w:shd w:val="clear" w:color="auto" w:fill="auto"/>
            <w:vAlign w:val="center"/>
          </w:tcPr>
          <w:p w:rsidR="009F1766" w:rsidRPr="005114E4" w:rsidRDefault="009F1766" w:rsidP="00385BB8">
            <w:pPr>
              <w:spacing w:after="0" w:line="240" w:lineRule="auto"/>
              <w:jc w:val="both"/>
              <w:rPr>
                <w:rFonts w:ascii="Times New Roman" w:hAnsi="Times New Roman"/>
              </w:rPr>
            </w:pPr>
            <w:r>
              <w:rPr>
                <w:rFonts w:ascii="Times New Roman" w:hAnsi="Times New Roman"/>
              </w:rPr>
              <w:t xml:space="preserve">Биланс новчаних токоваза 2021. године је урађен. </w:t>
            </w:r>
            <w:r w:rsidRPr="005114E4">
              <w:rPr>
                <w:rFonts w:ascii="Times New Roman" w:hAnsi="Times New Roman"/>
              </w:rPr>
              <w:t>За сваку буџетску годину поштова</w:t>
            </w:r>
            <w:r w:rsidRPr="005114E4">
              <w:rPr>
                <w:rFonts w:ascii="Times New Roman" w:hAnsi="Times New Roman"/>
                <w:lang w:val="sr-Cyrl-BA"/>
              </w:rPr>
              <w:t>ће се</w:t>
            </w:r>
            <w:r w:rsidRPr="005114E4">
              <w:rPr>
                <w:rFonts w:ascii="Times New Roman" w:hAnsi="Times New Roman"/>
              </w:rPr>
              <w:t xml:space="preserve"> прописана правила за израду Биланса новчаних токова.</w:t>
            </w:r>
          </w:p>
        </w:tc>
      </w:tr>
      <w:tr w:rsidR="009F1766" w:rsidRPr="005114E4" w:rsidTr="00385BB8">
        <w:tc>
          <w:tcPr>
            <w:tcW w:w="421"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p>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t>10.</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10.</w:t>
            </w:r>
          </w:p>
        </w:tc>
        <w:tc>
          <w:tcPr>
            <w:tcW w:w="4820" w:type="dxa"/>
            <w:shd w:val="clear" w:color="auto" w:fill="auto"/>
            <w:vAlign w:val="center"/>
          </w:tcPr>
          <w:p w:rsidR="009F1766" w:rsidRPr="005114E4" w:rsidRDefault="009F1766" w:rsidP="00385BB8">
            <w:pPr>
              <w:spacing w:before="120" w:after="120" w:line="240" w:lineRule="auto"/>
              <w:jc w:val="both"/>
              <w:rPr>
                <w:rFonts w:ascii="Times New Roman" w:hAnsi="Times New Roman"/>
              </w:rPr>
            </w:pPr>
            <w:r w:rsidRPr="005114E4">
              <w:rPr>
                <w:rFonts w:ascii="Times New Roman" w:hAnsi="Times New Roman"/>
              </w:rPr>
              <w:t>Напомене уз годишње финансијске извјештаје саставити у складу са чланом 46. Правилника о финансијском извјештавању буџетских корисника као и одговарајућим МРС-ЈС.</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Одјељење за финансије</w:t>
            </w:r>
          </w:p>
        </w:tc>
        <w:tc>
          <w:tcPr>
            <w:tcW w:w="2410" w:type="dxa"/>
            <w:shd w:val="clear" w:color="auto" w:fill="auto"/>
            <w:vAlign w:val="center"/>
          </w:tcPr>
          <w:p w:rsidR="009F1766" w:rsidRPr="005114E4" w:rsidRDefault="009F1766" w:rsidP="00385BB8">
            <w:pPr>
              <w:spacing w:after="0" w:line="240" w:lineRule="auto"/>
              <w:ind w:right="-108"/>
              <w:jc w:val="center"/>
              <w:rPr>
                <w:rFonts w:ascii="Times New Roman" w:hAnsi="Times New Roman"/>
              </w:rPr>
            </w:pPr>
            <w:r w:rsidRPr="005114E4">
              <w:rPr>
                <w:rFonts w:ascii="Times New Roman" w:hAnsi="Times New Roman"/>
              </w:rPr>
              <w:t>у року за израду Консолидованих финансијских извјештаја Града за 2021. г.</w:t>
            </w:r>
          </w:p>
        </w:tc>
        <w:tc>
          <w:tcPr>
            <w:tcW w:w="4383" w:type="dxa"/>
            <w:shd w:val="clear" w:color="auto" w:fill="auto"/>
            <w:vAlign w:val="center"/>
          </w:tcPr>
          <w:p w:rsidR="009F1766" w:rsidRPr="005114E4" w:rsidRDefault="009F1766" w:rsidP="00385BB8">
            <w:pPr>
              <w:spacing w:after="0" w:line="240" w:lineRule="auto"/>
              <w:jc w:val="both"/>
              <w:rPr>
                <w:rFonts w:ascii="Times New Roman" w:hAnsi="Times New Roman"/>
              </w:rPr>
            </w:pPr>
            <w:r>
              <w:rPr>
                <w:rFonts w:ascii="Times New Roman" w:hAnsi="Times New Roman"/>
              </w:rPr>
              <w:t>Препорука је реализована и испоштована п</w:t>
            </w:r>
            <w:r w:rsidRPr="005114E4">
              <w:rPr>
                <w:rFonts w:ascii="Times New Roman" w:hAnsi="Times New Roman"/>
              </w:rPr>
              <w:t>риликом израде Но</w:t>
            </w:r>
            <w:r>
              <w:rPr>
                <w:rFonts w:ascii="Times New Roman" w:hAnsi="Times New Roman"/>
              </w:rPr>
              <w:t>та за ФИ за 2021. год. С</w:t>
            </w:r>
            <w:r w:rsidRPr="005114E4">
              <w:rPr>
                <w:rFonts w:ascii="Times New Roman" w:hAnsi="Times New Roman"/>
              </w:rPr>
              <w:t xml:space="preserve">ваке наредне године, доследно ће се поштовати правила објављивања додатних информација у складу са прописима и захтјевима релевантних МРС ЈС. </w:t>
            </w:r>
          </w:p>
        </w:tc>
      </w:tr>
      <w:tr w:rsidR="009F1766" w:rsidRPr="005114E4" w:rsidTr="00385BB8">
        <w:tc>
          <w:tcPr>
            <w:tcW w:w="421"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t>11.</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11</w:t>
            </w:r>
          </w:p>
        </w:tc>
        <w:tc>
          <w:tcPr>
            <w:tcW w:w="4820" w:type="dxa"/>
            <w:shd w:val="clear" w:color="auto" w:fill="auto"/>
            <w:vAlign w:val="center"/>
          </w:tcPr>
          <w:p w:rsidR="009F1766" w:rsidRPr="005114E4" w:rsidRDefault="009F1766" w:rsidP="00385BB8">
            <w:pPr>
              <w:spacing w:before="120" w:after="120" w:line="240" w:lineRule="auto"/>
              <w:jc w:val="both"/>
              <w:rPr>
                <w:rFonts w:ascii="Times New Roman" w:hAnsi="Times New Roman"/>
              </w:rPr>
            </w:pPr>
            <w:r w:rsidRPr="005114E4">
              <w:rPr>
                <w:rFonts w:ascii="Times New Roman" w:hAnsi="Times New Roman"/>
              </w:rPr>
              <w:t>Дознаке,  трансфере,  расходе  роба  и  услуга   и   обрачунске   расходе евидентирати у складу са чланом 92, 96, 100, 102, и 103. Правилника о буџетским класификацијама, садржини рачуна и примјени контног плана за буџ</w:t>
            </w:r>
            <w:r w:rsidRPr="005114E4">
              <w:rPr>
                <w:rFonts w:ascii="Times New Roman" w:hAnsi="Times New Roman"/>
                <w:lang w:val="sr-Cyrl-BA"/>
              </w:rPr>
              <w:t>.</w:t>
            </w:r>
            <w:r w:rsidRPr="005114E4">
              <w:rPr>
                <w:rFonts w:ascii="Times New Roman" w:hAnsi="Times New Roman"/>
              </w:rPr>
              <w:t xml:space="preserve"> </w:t>
            </w:r>
            <w:proofErr w:type="gramStart"/>
            <w:r w:rsidRPr="005114E4">
              <w:rPr>
                <w:rFonts w:ascii="Times New Roman" w:hAnsi="Times New Roman"/>
              </w:rPr>
              <w:t>кориснике</w:t>
            </w:r>
            <w:proofErr w:type="gramEnd"/>
            <w:r w:rsidRPr="005114E4">
              <w:rPr>
                <w:rFonts w:ascii="Times New Roman" w:hAnsi="Times New Roman"/>
              </w:rPr>
              <w:t>.</w:t>
            </w:r>
          </w:p>
        </w:tc>
        <w:tc>
          <w:tcPr>
            <w:tcW w:w="1417" w:type="dxa"/>
            <w:shd w:val="clear" w:color="auto" w:fill="auto"/>
            <w:vAlign w:val="center"/>
          </w:tcPr>
          <w:p w:rsidR="009F1766" w:rsidRPr="005114E4" w:rsidRDefault="009F1766" w:rsidP="00385BB8">
            <w:pPr>
              <w:spacing w:after="0" w:line="240" w:lineRule="auto"/>
              <w:ind w:right="-107"/>
              <w:jc w:val="center"/>
              <w:rPr>
                <w:rFonts w:ascii="Times New Roman" w:hAnsi="Times New Roman"/>
              </w:rPr>
            </w:pPr>
            <w:r w:rsidRPr="005114E4">
              <w:rPr>
                <w:rFonts w:ascii="Times New Roman" w:hAnsi="Times New Roman"/>
              </w:rPr>
              <w:t>ЈУ Центар за соц. рад и Одјељење за финансије</w:t>
            </w:r>
          </w:p>
        </w:tc>
        <w:tc>
          <w:tcPr>
            <w:tcW w:w="2410"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континуирано</w:t>
            </w:r>
          </w:p>
        </w:tc>
        <w:tc>
          <w:tcPr>
            <w:tcW w:w="4383" w:type="dxa"/>
            <w:shd w:val="clear" w:color="auto" w:fill="auto"/>
            <w:vAlign w:val="center"/>
          </w:tcPr>
          <w:p w:rsidR="009F1766" w:rsidRPr="005114E4" w:rsidRDefault="009F1766" w:rsidP="00385BB8">
            <w:pPr>
              <w:spacing w:after="0" w:line="240" w:lineRule="auto"/>
              <w:jc w:val="both"/>
              <w:rPr>
                <w:rFonts w:ascii="Times New Roman" w:hAnsi="Times New Roman"/>
              </w:rPr>
            </w:pPr>
            <w:r>
              <w:rPr>
                <w:rFonts w:ascii="Times New Roman" w:hAnsi="Times New Roman"/>
              </w:rPr>
              <w:t xml:space="preserve">Препорука се реализује у континуитету. </w:t>
            </w:r>
            <w:r w:rsidRPr="005114E4">
              <w:rPr>
                <w:rFonts w:ascii="Times New Roman" w:hAnsi="Times New Roman"/>
              </w:rPr>
              <w:t xml:space="preserve">Јачањем рачуноводствених контрола (путем двојних контрола, суштинског карактера) обезбиједиће се отклањање неправилности у класификацији наведених расхода у наредном периоду. </w:t>
            </w:r>
          </w:p>
        </w:tc>
      </w:tr>
      <w:tr w:rsidR="009F1766" w:rsidRPr="005114E4" w:rsidTr="00385BB8">
        <w:tc>
          <w:tcPr>
            <w:tcW w:w="421"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t>12.</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12</w:t>
            </w:r>
          </w:p>
        </w:tc>
        <w:tc>
          <w:tcPr>
            <w:tcW w:w="4820" w:type="dxa"/>
            <w:shd w:val="clear" w:color="auto" w:fill="auto"/>
            <w:vAlign w:val="center"/>
          </w:tcPr>
          <w:p w:rsidR="009F1766" w:rsidRPr="005114E4" w:rsidRDefault="009F1766" w:rsidP="00385BB8">
            <w:pPr>
              <w:spacing w:before="120" w:after="120" w:line="240" w:lineRule="auto"/>
              <w:jc w:val="both"/>
              <w:rPr>
                <w:rFonts w:ascii="Times New Roman" w:hAnsi="Times New Roman"/>
              </w:rPr>
            </w:pPr>
            <w:r w:rsidRPr="005114E4">
              <w:rPr>
                <w:rFonts w:ascii="Times New Roman" w:hAnsi="Times New Roman"/>
              </w:rPr>
              <w:t>Расхода за лична примања и обрачунске расходе евидентирати у складу са чланом  91. и 100. Правилника о  буџетским  класификацијама, садржини рачуна и примјени контног плана за буџ. кориснике.</w:t>
            </w:r>
          </w:p>
        </w:tc>
        <w:tc>
          <w:tcPr>
            <w:tcW w:w="1417" w:type="dxa"/>
            <w:shd w:val="clear" w:color="auto" w:fill="auto"/>
            <w:vAlign w:val="center"/>
          </w:tcPr>
          <w:p w:rsidR="009F1766" w:rsidRPr="005114E4" w:rsidRDefault="009F1766" w:rsidP="00385BB8">
            <w:pPr>
              <w:spacing w:after="0" w:line="240" w:lineRule="auto"/>
              <w:ind w:left="-108" w:right="-107"/>
              <w:jc w:val="center"/>
              <w:rPr>
                <w:rFonts w:ascii="Times New Roman" w:hAnsi="Times New Roman"/>
              </w:rPr>
            </w:pPr>
            <w:r w:rsidRPr="005114E4">
              <w:rPr>
                <w:rFonts w:ascii="Times New Roman" w:hAnsi="Times New Roman"/>
              </w:rPr>
              <w:t>Туристичка организација Града и Одјељење за финансије</w:t>
            </w:r>
          </w:p>
        </w:tc>
        <w:tc>
          <w:tcPr>
            <w:tcW w:w="2410"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континуирано</w:t>
            </w:r>
          </w:p>
        </w:tc>
        <w:tc>
          <w:tcPr>
            <w:tcW w:w="4383"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Препорука је реализована.</w:t>
            </w:r>
          </w:p>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Расходи за лична примања ТОГБ  у 2021. години евидентирани су на одговарајућим контима (доказ: аналитика расхода на контима 4111111 – 411298).</w:t>
            </w:r>
          </w:p>
        </w:tc>
      </w:tr>
      <w:tr w:rsidR="009F1766" w:rsidRPr="005114E4" w:rsidTr="00385BB8">
        <w:tc>
          <w:tcPr>
            <w:tcW w:w="421"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t>13.</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13</w:t>
            </w:r>
          </w:p>
        </w:tc>
        <w:tc>
          <w:tcPr>
            <w:tcW w:w="4820" w:type="dxa"/>
            <w:shd w:val="clear" w:color="auto" w:fill="auto"/>
            <w:vAlign w:val="center"/>
          </w:tcPr>
          <w:p w:rsidR="009F1766" w:rsidRPr="005114E4" w:rsidRDefault="009F1766" w:rsidP="00385BB8">
            <w:pPr>
              <w:spacing w:before="120" w:after="120" w:line="240" w:lineRule="auto"/>
              <w:ind w:left="-142" w:right="-89"/>
              <w:jc w:val="both"/>
              <w:rPr>
                <w:rFonts w:ascii="Times New Roman" w:hAnsi="Times New Roman"/>
              </w:rPr>
            </w:pPr>
            <w:r w:rsidRPr="005114E4">
              <w:rPr>
                <w:rFonts w:ascii="Times New Roman" w:hAnsi="Times New Roman"/>
              </w:rPr>
              <w:t>Контролу књиговодствених исправа вршити у  складу са чланом 4, 5. и 6. Правилни</w:t>
            </w:r>
            <w:r>
              <w:rPr>
                <w:rFonts w:ascii="Times New Roman" w:hAnsi="Times New Roman"/>
              </w:rPr>
              <w:t xml:space="preserve">ка о     рачуноводству, рачуноводственим </w:t>
            </w:r>
            <w:r w:rsidRPr="005114E4">
              <w:rPr>
                <w:rFonts w:ascii="Times New Roman" w:hAnsi="Times New Roman"/>
              </w:rPr>
              <w:t>по</w:t>
            </w:r>
            <w:r>
              <w:rPr>
                <w:rFonts w:ascii="Times New Roman" w:hAnsi="Times New Roman"/>
              </w:rPr>
              <w:t>литикама</w:t>
            </w:r>
            <w:r w:rsidRPr="005114E4">
              <w:rPr>
                <w:rFonts w:ascii="Times New Roman" w:hAnsi="Times New Roman"/>
              </w:rPr>
              <w:t xml:space="preserve"> и рачуноводственим процјенама за буџетске кориснике у РС.</w:t>
            </w:r>
          </w:p>
        </w:tc>
        <w:tc>
          <w:tcPr>
            <w:tcW w:w="1417" w:type="dxa"/>
            <w:shd w:val="clear" w:color="auto" w:fill="auto"/>
            <w:vAlign w:val="center"/>
          </w:tcPr>
          <w:p w:rsidR="009F1766" w:rsidRPr="005114E4" w:rsidRDefault="009F1766" w:rsidP="00385BB8">
            <w:pPr>
              <w:spacing w:after="0" w:line="240" w:lineRule="auto"/>
              <w:ind w:right="-107"/>
              <w:jc w:val="center"/>
              <w:rPr>
                <w:rFonts w:ascii="Times New Roman" w:hAnsi="Times New Roman"/>
              </w:rPr>
            </w:pPr>
            <w:r w:rsidRPr="005114E4">
              <w:rPr>
                <w:rFonts w:ascii="Times New Roman" w:hAnsi="Times New Roman"/>
              </w:rPr>
              <w:t>ЈУ Центар за социјални рад и Одјељење за финансије</w:t>
            </w:r>
          </w:p>
        </w:tc>
        <w:tc>
          <w:tcPr>
            <w:tcW w:w="2410"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одмах и континуирано</w:t>
            </w:r>
          </w:p>
        </w:tc>
        <w:tc>
          <w:tcPr>
            <w:tcW w:w="4383" w:type="dxa"/>
            <w:shd w:val="clear" w:color="auto" w:fill="auto"/>
            <w:vAlign w:val="center"/>
          </w:tcPr>
          <w:p w:rsidR="009F1766" w:rsidRPr="005114E4" w:rsidRDefault="009F1766" w:rsidP="00385BB8">
            <w:pPr>
              <w:spacing w:after="0" w:line="240" w:lineRule="auto"/>
              <w:ind w:right="-108"/>
              <w:jc w:val="both"/>
              <w:rPr>
                <w:rFonts w:ascii="Times New Roman" w:hAnsi="Times New Roman"/>
                <w:lang w:val="sr-Cyrl-BA"/>
              </w:rPr>
            </w:pPr>
            <w:r w:rsidRPr="005114E4">
              <w:rPr>
                <w:rFonts w:ascii="Times New Roman" w:hAnsi="Times New Roman"/>
              </w:rPr>
              <w:t xml:space="preserve">Препорука </w:t>
            </w:r>
            <w:r w:rsidRPr="005114E4">
              <w:rPr>
                <w:rFonts w:ascii="Times New Roman" w:hAnsi="Times New Roman"/>
                <w:lang w:val="sr-Cyrl-BA"/>
              </w:rPr>
              <w:t>је прихваћен</w:t>
            </w:r>
            <w:r>
              <w:rPr>
                <w:rFonts w:ascii="Times New Roman" w:hAnsi="Times New Roman"/>
              </w:rPr>
              <w:t>а и реализује се у континуитету.</w:t>
            </w:r>
            <w:r w:rsidRPr="005114E4">
              <w:rPr>
                <w:rFonts w:ascii="Times New Roman" w:hAnsi="Times New Roman"/>
              </w:rPr>
              <w:t xml:space="preserve"> У наредном периоду плаћања за ЦСР, као и остале буџетске кориснике, ће се вршити искључиво на бази вјеродостојних књиговодствених исправа које су претходно контролисане (обавезе према добављачима се неће вршити на основу налога за плаћање).</w:t>
            </w:r>
            <w:r>
              <w:rPr>
                <w:rFonts w:ascii="Times New Roman" w:hAnsi="Times New Roman"/>
              </w:rPr>
              <w:t xml:space="preserve"> Од стране</w:t>
            </w:r>
            <w:r w:rsidRPr="005114E4">
              <w:rPr>
                <w:rFonts w:ascii="Times New Roman" w:hAnsi="Times New Roman"/>
              </w:rPr>
              <w:t xml:space="preserve"> Одј</w:t>
            </w:r>
            <w:r>
              <w:rPr>
                <w:rFonts w:ascii="Times New Roman" w:hAnsi="Times New Roman"/>
              </w:rPr>
              <w:t>ељења</w:t>
            </w:r>
            <w:r w:rsidRPr="005114E4">
              <w:rPr>
                <w:rFonts w:ascii="Times New Roman" w:hAnsi="Times New Roman"/>
              </w:rPr>
              <w:t xml:space="preserve"> за финансије </w:t>
            </w:r>
            <w:r>
              <w:rPr>
                <w:rFonts w:ascii="Times New Roman" w:hAnsi="Times New Roman"/>
              </w:rPr>
              <w:t>појачана је контрола</w:t>
            </w:r>
            <w:r w:rsidRPr="005114E4">
              <w:rPr>
                <w:rFonts w:ascii="Times New Roman" w:hAnsi="Times New Roman"/>
              </w:rPr>
              <w:t xml:space="preserve"> књиговодствених исправа у складу са наведеним Правилником и Упутством о кретању финансијско-књиговодствене документације Града. </w:t>
            </w:r>
          </w:p>
        </w:tc>
      </w:tr>
      <w:tr w:rsidR="009F1766" w:rsidRPr="005114E4" w:rsidTr="00385BB8">
        <w:tc>
          <w:tcPr>
            <w:tcW w:w="421" w:type="dxa"/>
            <w:shd w:val="clear" w:color="auto" w:fill="auto"/>
            <w:vAlign w:val="center"/>
          </w:tcPr>
          <w:p w:rsidR="009F1766" w:rsidRPr="005114E4" w:rsidRDefault="009F1766" w:rsidP="00385BB8">
            <w:pPr>
              <w:spacing w:after="0" w:line="240" w:lineRule="auto"/>
              <w:ind w:right="-108"/>
              <w:jc w:val="center"/>
              <w:rPr>
                <w:rFonts w:ascii="Times New Roman" w:hAnsi="Times New Roman"/>
                <w:sz w:val="24"/>
                <w:szCs w:val="24"/>
              </w:rPr>
            </w:pPr>
            <w:r w:rsidRPr="005114E4">
              <w:rPr>
                <w:rFonts w:ascii="Times New Roman" w:hAnsi="Times New Roman"/>
                <w:sz w:val="24"/>
                <w:szCs w:val="24"/>
              </w:rPr>
              <w:t>14.</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14</w:t>
            </w:r>
          </w:p>
        </w:tc>
        <w:tc>
          <w:tcPr>
            <w:tcW w:w="4820" w:type="dxa"/>
            <w:shd w:val="clear" w:color="auto" w:fill="auto"/>
            <w:vAlign w:val="center"/>
          </w:tcPr>
          <w:p w:rsidR="009F1766" w:rsidRPr="005114E4" w:rsidRDefault="009F1766" w:rsidP="00385BB8">
            <w:pPr>
              <w:spacing w:before="120" w:after="120" w:line="240" w:lineRule="auto"/>
              <w:jc w:val="both"/>
              <w:rPr>
                <w:rFonts w:ascii="Times New Roman" w:hAnsi="Times New Roman"/>
              </w:rPr>
            </w:pPr>
            <w:r w:rsidRPr="005114E4">
              <w:rPr>
                <w:rFonts w:ascii="Times New Roman" w:hAnsi="Times New Roman"/>
              </w:rPr>
              <w:t>Попис имовине и обавеза вршити у складу са чланом 17. и 18. Правилника о начину и роковима вршења пописа и усклађивања књиговодственог стања са стварним стањем имовине и обавеза</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lang w:val="sr-Cyrl-BA"/>
              </w:rPr>
            </w:pPr>
            <w:r>
              <w:rPr>
                <w:rFonts w:ascii="Times New Roman" w:hAnsi="Times New Roman"/>
                <w:lang w:val="sr-Cyrl-BA"/>
              </w:rPr>
              <w:t>Пописне комисије  ГУ</w:t>
            </w:r>
            <w:r w:rsidRPr="005114E4">
              <w:rPr>
                <w:rFonts w:ascii="Times New Roman" w:hAnsi="Times New Roman"/>
                <w:lang w:val="sr-Cyrl-BA"/>
              </w:rPr>
              <w:t xml:space="preserve"> и Развојне агенције, у сарадњи са Одјељењем за финансије</w:t>
            </w:r>
          </w:p>
        </w:tc>
        <w:tc>
          <w:tcPr>
            <w:tcW w:w="2410" w:type="dxa"/>
            <w:shd w:val="clear" w:color="auto" w:fill="auto"/>
            <w:vAlign w:val="center"/>
          </w:tcPr>
          <w:p w:rsidR="009F1766" w:rsidRPr="005114E4" w:rsidRDefault="009F1766" w:rsidP="00385BB8">
            <w:pPr>
              <w:spacing w:after="0" w:line="240" w:lineRule="auto"/>
              <w:jc w:val="center"/>
              <w:rPr>
                <w:rFonts w:ascii="Times New Roman" w:hAnsi="Times New Roman"/>
                <w:lang w:val="sr-Cyrl-BA"/>
              </w:rPr>
            </w:pPr>
            <w:r w:rsidRPr="005114E4">
              <w:rPr>
                <w:rFonts w:ascii="Times New Roman" w:hAnsi="Times New Roman"/>
                <w:lang w:val="sr-Cyrl-BA"/>
              </w:rPr>
              <w:t>18.02.2022. године</w:t>
            </w:r>
          </w:p>
        </w:tc>
        <w:tc>
          <w:tcPr>
            <w:tcW w:w="4383" w:type="dxa"/>
            <w:shd w:val="clear" w:color="auto" w:fill="auto"/>
            <w:vAlign w:val="center"/>
          </w:tcPr>
          <w:p w:rsidR="009F1766" w:rsidRPr="005114E4" w:rsidRDefault="009F1766" w:rsidP="00385BB8">
            <w:pPr>
              <w:spacing w:after="0" w:line="240" w:lineRule="auto"/>
              <w:jc w:val="both"/>
              <w:rPr>
                <w:rFonts w:ascii="Times New Roman" w:hAnsi="Times New Roman"/>
                <w:lang w:val="sr-Cyrl-BA"/>
              </w:rPr>
            </w:pPr>
            <w:r>
              <w:rPr>
                <w:rFonts w:ascii="Times New Roman" w:hAnsi="Times New Roman"/>
              </w:rPr>
              <w:t xml:space="preserve">Препорука реализована по попису са стањем на дан 31.12.2021. год. у ГУ и Развојној агенцији у складу са правилима и плановима пописних комисија. </w:t>
            </w:r>
            <w:r>
              <w:rPr>
                <w:rFonts w:ascii="Times New Roman" w:hAnsi="Times New Roman"/>
                <w:lang w:val="sr-Cyrl-BA"/>
              </w:rPr>
              <w:t>Пописне листе су сачињене</w:t>
            </w:r>
            <w:r w:rsidRPr="005114E4">
              <w:rPr>
                <w:rFonts w:ascii="Times New Roman" w:hAnsi="Times New Roman"/>
                <w:lang w:val="sr-Cyrl-BA"/>
              </w:rPr>
              <w:t xml:space="preserve"> у два примјерка и евидентирани су датуми пријема пописних листи, које су овјерене и предате ком</w:t>
            </w:r>
            <w:r>
              <w:rPr>
                <w:rFonts w:ascii="Times New Roman" w:hAnsi="Times New Roman"/>
                <w:lang w:val="sr-Cyrl-BA"/>
              </w:rPr>
              <w:t>исији.У планираном року сачињени су извјештаји и извршена</w:t>
            </w:r>
            <w:r w:rsidRPr="005114E4">
              <w:rPr>
                <w:rFonts w:ascii="Times New Roman" w:hAnsi="Times New Roman"/>
                <w:lang w:val="sr-Cyrl-BA"/>
              </w:rPr>
              <w:t xml:space="preserve"> </w:t>
            </w:r>
            <w:r>
              <w:rPr>
                <w:rFonts w:ascii="Times New Roman" w:hAnsi="Times New Roman"/>
                <w:lang w:val="sr-Cyrl-BA"/>
              </w:rPr>
              <w:t>усклађивања</w:t>
            </w:r>
            <w:r w:rsidRPr="005114E4">
              <w:rPr>
                <w:rFonts w:ascii="Times New Roman" w:hAnsi="Times New Roman"/>
                <w:lang w:val="sr-Cyrl-BA"/>
              </w:rPr>
              <w:t xml:space="preserve"> стања, према прописаним пр</w:t>
            </w:r>
            <w:r>
              <w:rPr>
                <w:rFonts w:ascii="Times New Roman" w:hAnsi="Times New Roman"/>
                <w:lang w:val="sr-Cyrl-BA"/>
              </w:rPr>
              <w:t>описима.</w:t>
            </w:r>
          </w:p>
        </w:tc>
      </w:tr>
    </w:tbl>
    <w:p w:rsidR="009F1766" w:rsidRDefault="009F1766" w:rsidP="009F1766">
      <w:pPr>
        <w:pStyle w:val="Header"/>
        <w:tabs>
          <w:tab w:val="clear" w:pos="4703"/>
        </w:tabs>
        <w:ind w:left="720"/>
        <w:rPr>
          <w:rFonts w:ascii="Times New Roman" w:hAnsi="Times New Roman"/>
          <w:b/>
          <w:i/>
          <w:sz w:val="28"/>
          <w:szCs w:val="28"/>
        </w:rPr>
      </w:pPr>
    </w:p>
    <w:p w:rsidR="009F1766" w:rsidRPr="00D96338" w:rsidRDefault="009F1766" w:rsidP="009F1766">
      <w:pPr>
        <w:pStyle w:val="Header"/>
        <w:tabs>
          <w:tab w:val="clear" w:pos="4703"/>
        </w:tabs>
        <w:ind w:left="720"/>
        <w:rPr>
          <w:rFonts w:ascii="Times New Roman" w:hAnsi="Times New Roman"/>
          <w:b/>
          <w:i/>
          <w:sz w:val="28"/>
          <w:szCs w:val="28"/>
        </w:rPr>
      </w:pPr>
      <w:r>
        <w:rPr>
          <w:rFonts w:ascii="Times New Roman" w:hAnsi="Times New Roman"/>
          <w:b/>
          <w:i/>
          <w:sz w:val="28"/>
          <w:szCs w:val="28"/>
        </w:rPr>
        <w:t>1.</w:t>
      </w:r>
      <w:r w:rsidRPr="00D96338">
        <w:rPr>
          <w:rFonts w:ascii="Times New Roman" w:hAnsi="Times New Roman"/>
          <w:b/>
          <w:i/>
          <w:sz w:val="28"/>
          <w:szCs w:val="28"/>
        </w:rPr>
        <w:t>Препоруке везане за усклађеност</w:t>
      </w:r>
    </w:p>
    <w:tbl>
      <w:tblPr>
        <w:tblpPr w:leftFromText="180" w:rightFromText="180" w:vertAnchor="text" w:horzAnchor="margin" w:tblpXSpec="center" w:tblpY="648"/>
        <w:tblW w:w="14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1"/>
        <w:gridCol w:w="1487"/>
        <w:gridCol w:w="5317"/>
        <w:gridCol w:w="1417"/>
        <w:gridCol w:w="1843"/>
        <w:gridCol w:w="4293"/>
      </w:tblGrid>
      <w:tr w:rsidR="009F1766" w:rsidRPr="005114E4" w:rsidTr="00385BB8">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b/>
              </w:rPr>
            </w:pPr>
            <w:r w:rsidRPr="005114E4">
              <w:rPr>
                <w:rFonts w:ascii="Times New Roman" w:hAnsi="Times New Roman"/>
                <w:b/>
              </w:rPr>
              <w:t>Р.б.</w:t>
            </w:r>
          </w:p>
        </w:tc>
        <w:tc>
          <w:tcPr>
            <w:tcW w:w="1487" w:type="dxa"/>
            <w:shd w:val="clear" w:color="auto" w:fill="auto"/>
            <w:vAlign w:val="center"/>
          </w:tcPr>
          <w:p w:rsidR="009F1766" w:rsidRPr="005114E4" w:rsidRDefault="009F1766" w:rsidP="00385BB8">
            <w:pPr>
              <w:spacing w:after="0" w:line="240" w:lineRule="auto"/>
              <w:jc w:val="center"/>
              <w:rPr>
                <w:rFonts w:ascii="Times New Roman" w:hAnsi="Times New Roman"/>
                <w:b/>
              </w:rPr>
            </w:pPr>
            <w:r w:rsidRPr="005114E4">
              <w:rPr>
                <w:rFonts w:ascii="Times New Roman" w:hAnsi="Times New Roman"/>
                <w:b/>
              </w:rPr>
              <w:t>Референца на РВ066-21</w:t>
            </w:r>
          </w:p>
          <w:p w:rsidR="009F1766" w:rsidRPr="005114E4" w:rsidRDefault="009F1766" w:rsidP="00385BB8">
            <w:pPr>
              <w:spacing w:after="0" w:line="240" w:lineRule="auto"/>
              <w:ind w:left="-155" w:right="-108"/>
              <w:jc w:val="center"/>
              <w:rPr>
                <w:rFonts w:ascii="Times New Roman" w:hAnsi="Times New Roman"/>
                <w:b/>
              </w:rPr>
            </w:pPr>
            <w:r w:rsidRPr="005114E4">
              <w:rPr>
                <w:rFonts w:ascii="Times New Roman" w:hAnsi="Times New Roman"/>
                <w:b/>
              </w:rPr>
              <w:t>(т. III Резиме)</w:t>
            </w:r>
          </w:p>
        </w:tc>
        <w:tc>
          <w:tcPr>
            <w:tcW w:w="5317" w:type="dxa"/>
            <w:shd w:val="clear" w:color="auto" w:fill="auto"/>
            <w:vAlign w:val="center"/>
          </w:tcPr>
          <w:p w:rsidR="009F1766" w:rsidRPr="005114E4" w:rsidRDefault="009F1766" w:rsidP="00385BB8">
            <w:pPr>
              <w:spacing w:after="0" w:line="240" w:lineRule="auto"/>
              <w:jc w:val="center"/>
              <w:rPr>
                <w:rFonts w:ascii="Times New Roman" w:hAnsi="Times New Roman"/>
                <w:b/>
                <w:sz w:val="24"/>
                <w:szCs w:val="24"/>
              </w:rPr>
            </w:pPr>
            <w:r w:rsidRPr="005114E4">
              <w:rPr>
                <w:rFonts w:ascii="Times New Roman" w:hAnsi="Times New Roman"/>
                <w:b/>
                <w:sz w:val="24"/>
                <w:szCs w:val="24"/>
                <w:lang w:val="sr-Cyrl-BA"/>
              </w:rPr>
              <w:t>П</w:t>
            </w:r>
            <w:r w:rsidRPr="005114E4">
              <w:rPr>
                <w:rFonts w:ascii="Times New Roman" w:hAnsi="Times New Roman"/>
                <w:b/>
                <w:sz w:val="24"/>
                <w:szCs w:val="24"/>
              </w:rPr>
              <w:t>репоруке ревизора</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b/>
              </w:rPr>
            </w:pPr>
            <w:r w:rsidRPr="005114E4">
              <w:rPr>
                <w:rFonts w:ascii="Times New Roman" w:hAnsi="Times New Roman"/>
                <w:b/>
              </w:rPr>
              <w:t>Носилац активности</w:t>
            </w:r>
          </w:p>
        </w:tc>
        <w:tc>
          <w:tcPr>
            <w:tcW w:w="1843" w:type="dxa"/>
            <w:shd w:val="clear" w:color="auto" w:fill="auto"/>
            <w:vAlign w:val="center"/>
          </w:tcPr>
          <w:p w:rsidR="009F1766" w:rsidRPr="005114E4" w:rsidRDefault="009F1766" w:rsidP="00385BB8">
            <w:pPr>
              <w:spacing w:after="0" w:line="240" w:lineRule="auto"/>
              <w:jc w:val="center"/>
              <w:rPr>
                <w:rFonts w:ascii="Times New Roman" w:hAnsi="Times New Roman"/>
                <w:b/>
              </w:rPr>
            </w:pPr>
            <w:r w:rsidRPr="005114E4">
              <w:rPr>
                <w:rFonts w:ascii="Times New Roman" w:hAnsi="Times New Roman"/>
                <w:b/>
              </w:rPr>
              <w:t>Рок за реализацију препоруке</w:t>
            </w:r>
          </w:p>
        </w:tc>
        <w:tc>
          <w:tcPr>
            <w:tcW w:w="4293" w:type="dxa"/>
            <w:shd w:val="clear" w:color="auto" w:fill="auto"/>
            <w:vAlign w:val="center"/>
          </w:tcPr>
          <w:p w:rsidR="009F1766" w:rsidRPr="005114E4" w:rsidRDefault="009F1766" w:rsidP="00385BB8">
            <w:pPr>
              <w:spacing w:after="0" w:line="240" w:lineRule="auto"/>
              <w:jc w:val="center"/>
              <w:rPr>
                <w:rFonts w:ascii="Times New Roman" w:hAnsi="Times New Roman"/>
                <w:b/>
              </w:rPr>
            </w:pPr>
            <w:r>
              <w:rPr>
                <w:rFonts w:ascii="Times New Roman" w:hAnsi="Times New Roman"/>
                <w:b/>
              </w:rPr>
              <w:t>Степен реализације препорука</w:t>
            </w:r>
          </w:p>
        </w:tc>
      </w:tr>
      <w:tr w:rsidR="009F1766" w:rsidRPr="005114E4" w:rsidTr="00385BB8">
        <w:trPr>
          <w:trHeight w:val="5438"/>
        </w:trPr>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rPr>
            </w:pPr>
            <w:r w:rsidRPr="005114E4">
              <w:rPr>
                <w:rFonts w:ascii="Times New Roman" w:hAnsi="Times New Roman"/>
              </w:rPr>
              <w:t>01.</w:t>
            </w:r>
          </w:p>
        </w:tc>
        <w:tc>
          <w:tcPr>
            <w:tcW w:w="1487" w:type="dxa"/>
            <w:shd w:val="clear" w:color="auto" w:fill="auto"/>
            <w:vAlign w:val="center"/>
          </w:tcPr>
          <w:p w:rsidR="009F1766" w:rsidRPr="00707403" w:rsidRDefault="009F1766" w:rsidP="00385BB8">
            <w:pPr>
              <w:spacing w:after="0" w:line="240" w:lineRule="auto"/>
              <w:jc w:val="center"/>
              <w:rPr>
                <w:rFonts w:ascii="Times New Roman" w:hAnsi="Times New Roman"/>
                <w:b/>
              </w:rPr>
            </w:pPr>
            <w:r w:rsidRPr="00707403">
              <w:rPr>
                <w:rFonts w:ascii="Times New Roman" w:hAnsi="Times New Roman"/>
                <w:b/>
              </w:rPr>
              <w:t>Препорука број 1.</w:t>
            </w:r>
          </w:p>
        </w:tc>
        <w:tc>
          <w:tcPr>
            <w:tcW w:w="5317" w:type="dxa"/>
            <w:shd w:val="clear" w:color="auto" w:fill="auto"/>
            <w:vAlign w:val="center"/>
          </w:tcPr>
          <w:p w:rsidR="009F1766" w:rsidRPr="00707403" w:rsidRDefault="009F1766" w:rsidP="00385BB8">
            <w:pPr>
              <w:widowControl w:val="0"/>
              <w:autoSpaceDE w:val="0"/>
              <w:autoSpaceDN w:val="0"/>
              <w:adjustRightInd w:val="0"/>
              <w:spacing w:after="0" w:line="240" w:lineRule="auto"/>
              <w:ind w:left="262"/>
              <w:jc w:val="both"/>
              <w:rPr>
                <w:rFonts w:ascii="Times New Roman" w:hAnsi="Times New Roman"/>
                <w:b/>
              </w:rPr>
            </w:pPr>
            <w:r w:rsidRPr="00707403">
              <w:rPr>
                <w:rFonts w:ascii="Times New Roman" w:hAnsi="Times New Roman"/>
                <w:b/>
              </w:rPr>
              <w:t>Укључити Аграрни фонд у систем трезорског пословања Града Бијељина у складу са чланом 6. став (12) Закона о трезору.</w:t>
            </w:r>
          </w:p>
        </w:tc>
        <w:tc>
          <w:tcPr>
            <w:tcW w:w="1417" w:type="dxa"/>
            <w:shd w:val="clear" w:color="auto" w:fill="auto"/>
            <w:vAlign w:val="center"/>
          </w:tcPr>
          <w:p w:rsidR="009F1766" w:rsidRPr="00707403" w:rsidRDefault="009F1766" w:rsidP="00385BB8">
            <w:pPr>
              <w:spacing w:after="0" w:line="240" w:lineRule="auto"/>
              <w:jc w:val="center"/>
              <w:rPr>
                <w:rFonts w:ascii="Times New Roman" w:hAnsi="Times New Roman"/>
                <w:b/>
              </w:rPr>
            </w:pPr>
            <w:r w:rsidRPr="00707403">
              <w:rPr>
                <w:rFonts w:ascii="Times New Roman" w:hAnsi="Times New Roman"/>
                <w:b/>
              </w:rPr>
              <w:t>Одјељење за финансије</w:t>
            </w:r>
          </w:p>
        </w:tc>
        <w:tc>
          <w:tcPr>
            <w:tcW w:w="1843" w:type="dxa"/>
            <w:shd w:val="clear" w:color="auto" w:fill="auto"/>
            <w:vAlign w:val="center"/>
          </w:tcPr>
          <w:p w:rsidR="009F1766" w:rsidRPr="00707403" w:rsidRDefault="009F1766" w:rsidP="00385BB8">
            <w:pPr>
              <w:spacing w:after="0" w:line="240" w:lineRule="auto"/>
              <w:jc w:val="center"/>
              <w:rPr>
                <w:rFonts w:ascii="Times New Roman" w:hAnsi="Times New Roman"/>
                <w:b/>
              </w:rPr>
            </w:pPr>
            <w:r w:rsidRPr="00707403">
              <w:rPr>
                <w:rFonts w:ascii="Times New Roman" w:hAnsi="Times New Roman"/>
                <w:b/>
              </w:rPr>
              <w:t>у што краћем року</w:t>
            </w:r>
          </w:p>
        </w:tc>
        <w:tc>
          <w:tcPr>
            <w:tcW w:w="4293" w:type="dxa"/>
            <w:shd w:val="clear" w:color="auto" w:fill="auto"/>
            <w:vAlign w:val="center"/>
          </w:tcPr>
          <w:p w:rsidR="009F1766" w:rsidRPr="005D0AA1" w:rsidRDefault="009F1766" w:rsidP="00385BB8">
            <w:pPr>
              <w:spacing w:before="60" w:after="60" w:line="240" w:lineRule="auto"/>
              <w:ind w:right="72"/>
              <w:jc w:val="both"/>
              <w:rPr>
                <w:rFonts w:ascii="Times New Roman" w:hAnsi="Times New Roman"/>
                <w:b/>
              </w:rPr>
            </w:pPr>
            <w:r w:rsidRPr="005D0AA1">
              <w:rPr>
                <w:rFonts w:ascii="Times New Roman" w:hAnsi="Times New Roman"/>
                <w:b/>
              </w:rPr>
              <w:t xml:space="preserve">Препорука није реализована. У складу </w:t>
            </w:r>
            <w:proofErr w:type="gramStart"/>
            <w:r w:rsidRPr="005D0AA1">
              <w:rPr>
                <w:rFonts w:ascii="Times New Roman" w:hAnsi="Times New Roman"/>
                <w:b/>
              </w:rPr>
              <w:t>са  чланом</w:t>
            </w:r>
            <w:proofErr w:type="gramEnd"/>
            <w:r w:rsidRPr="005D0AA1">
              <w:rPr>
                <w:rFonts w:ascii="Times New Roman" w:hAnsi="Times New Roman"/>
                <w:b/>
              </w:rPr>
              <w:t xml:space="preserve"> 6. </w:t>
            </w:r>
            <w:proofErr w:type="gramStart"/>
            <w:r w:rsidRPr="005D0AA1">
              <w:rPr>
                <w:rFonts w:ascii="Times New Roman" w:hAnsi="Times New Roman"/>
                <w:b/>
              </w:rPr>
              <w:t>став</w:t>
            </w:r>
            <w:proofErr w:type="gramEnd"/>
            <w:r w:rsidRPr="005D0AA1">
              <w:rPr>
                <w:rFonts w:ascii="Times New Roman" w:hAnsi="Times New Roman"/>
                <w:b/>
              </w:rPr>
              <w:t xml:space="preserve"> 12. Закона о трезору Градоначелник је утврдио приједлог Одлуке о укључивању у трезорски систем пословања Аграрног фонда Града Бијељина те га прослиједио Скупштини Града на претрес и усвајање. На 8. </w:t>
            </w:r>
            <w:proofErr w:type="gramStart"/>
            <w:r w:rsidRPr="005D0AA1">
              <w:rPr>
                <w:rFonts w:ascii="Times New Roman" w:hAnsi="Times New Roman"/>
                <w:b/>
              </w:rPr>
              <w:t>сједници</w:t>
            </w:r>
            <w:proofErr w:type="gramEnd"/>
            <w:r w:rsidRPr="005D0AA1">
              <w:rPr>
                <w:rFonts w:ascii="Times New Roman" w:hAnsi="Times New Roman"/>
                <w:b/>
              </w:rPr>
              <w:t xml:space="preserve"> Скупштина Града је 04.11.2021. године донијела закључак о неусвајању овог приједлога Одлуке. </w:t>
            </w:r>
          </w:p>
          <w:p w:rsidR="009F1766" w:rsidRDefault="009F1766" w:rsidP="00385BB8">
            <w:pPr>
              <w:spacing w:after="0" w:line="240" w:lineRule="auto"/>
              <w:ind w:right="72"/>
              <w:jc w:val="both"/>
              <w:rPr>
                <w:rFonts w:ascii="Times New Roman" w:hAnsi="Times New Roman"/>
                <w:b/>
              </w:rPr>
            </w:pPr>
            <w:r w:rsidRPr="005D0AA1">
              <w:rPr>
                <w:rFonts w:ascii="Times New Roman" w:hAnsi="Times New Roman"/>
                <w:b/>
              </w:rPr>
              <w:t xml:space="preserve">На 9. </w:t>
            </w:r>
            <w:proofErr w:type="gramStart"/>
            <w:r w:rsidRPr="005D0AA1">
              <w:rPr>
                <w:rFonts w:ascii="Times New Roman" w:hAnsi="Times New Roman"/>
                <w:b/>
              </w:rPr>
              <w:t>сједници</w:t>
            </w:r>
            <w:proofErr w:type="gramEnd"/>
            <w:r w:rsidRPr="005D0AA1">
              <w:rPr>
                <w:rFonts w:ascii="Times New Roman" w:hAnsi="Times New Roman"/>
                <w:b/>
              </w:rPr>
              <w:t xml:space="preserve"> Скупштине Града, која је одржана 08.12.2021. године, Градоначелник је поново предложио да се дневни ред допуни новом тачком: Приједлог Одлуке о укључивању у трезорски систем пословања Аграрног фонда, али приједлог није усвојен (докази: Извод из записника са 8. и 9. сједнице Скупштине Града).</w:t>
            </w:r>
          </w:p>
          <w:p w:rsidR="009F1766" w:rsidRPr="007373A0" w:rsidRDefault="009F1766" w:rsidP="00385BB8">
            <w:pPr>
              <w:spacing w:after="0" w:line="240" w:lineRule="auto"/>
              <w:ind w:right="72"/>
              <w:jc w:val="both"/>
              <w:rPr>
                <w:rFonts w:ascii="Times New Roman" w:hAnsi="Times New Roman"/>
                <w:b/>
              </w:rPr>
            </w:pPr>
            <w:r>
              <w:rPr>
                <w:rFonts w:ascii="Times New Roman" w:hAnsi="Times New Roman"/>
                <w:b/>
              </w:rPr>
              <w:t xml:space="preserve">Дана 10.05.2022. </w:t>
            </w:r>
            <w:proofErr w:type="gramStart"/>
            <w:r>
              <w:rPr>
                <w:rFonts w:ascii="Times New Roman" w:hAnsi="Times New Roman"/>
                <w:b/>
              </w:rPr>
              <w:t>године</w:t>
            </w:r>
            <w:proofErr w:type="gramEnd"/>
            <w:r>
              <w:rPr>
                <w:rFonts w:ascii="Times New Roman" w:hAnsi="Times New Roman"/>
                <w:b/>
              </w:rPr>
              <w:t xml:space="preserve"> Градоначелник је донио Одлуку број 02-014-1-1205/22 о начину организовања локалног трезора Града Бијељина, према којој је у саставу локалног трезора Града укључен и Аграрни фонд. Одлука је објављена у Службеном гласнику Града Бијељина број 12/22. Дана 01.06.2022. године ова Одлука је достављена у Министарство финансија Републике Српске (Акт бр 02-014-1-1452/22). </w:t>
            </w:r>
          </w:p>
        </w:tc>
      </w:tr>
      <w:tr w:rsidR="009F1766" w:rsidRPr="005114E4" w:rsidTr="00385BB8">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rPr>
            </w:pPr>
            <w:r w:rsidRPr="005114E4">
              <w:rPr>
                <w:rFonts w:ascii="Times New Roman" w:hAnsi="Times New Roman"/>
              </w:rPr>
              <w:lastRenderedPageBreak/>
              <w:t>02.</w:t>
            </w:r>
          </w:p>
        </w:tc>
        <w:tc>
          <w:tcPr>
            <w:tcW w:w="1487" w:type="dxa"/>
            <w:shd w:val="clear" w:color="auto" w:fill="auto"/>
            <w:vAlign w:val="center"/>
          </w:tcPr>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2.</w:t>
            </w:r>
          </w:p>
        </w:tc>
        <w:tc>
          <w:tcPr>
            <w:tcW w:w="5317"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Запошљавање на одређено вријеме, пријем  приправника, привремена и трајна премјештања и оцјењивање рада запослених вршити у складу са Законом о службеницима и намјештеницима у органима јединице локалне самоуправе.</w:t>
            </w:r>
          </w:p>
        </w:tc>
        <w:tc>
          <w:tcPr>
            <w:tcW w:w="1417" w:type="dxa"/>
            <w:shd w:val="clear" w:color="auto" w:fill="auto"/>
            <w:vAlign w:val="center"/>
          </w:tcPr>
          <w:p w:rsidR="009F1766" w:rsidRPr="005114E4" w:rsidRDefault="009F1766" w:rsidP="00385BB8">
            <w:pPr>
              <w:spacing w:after="0" w:line="240" w:lineRule="auto"/>
              <w:ind w:left="-108" w:right="-108"/>
              <w:jc w:val="center"/>
              <w:rPr>
                <w:rFonts w:ascii="Times New Roman" w:hAnsi="Times New Roman"/>
              </w:rPr>
            </w:pPr>
            <w:r w:rsidRPr="005114E4">
              <w:rPr>
                <w:rFonts w:ascii="Times New Roman" w:hAnsi="Times New Roman"/>
              </w:rPr>
              <w:t>Одсјек за УЉР и Кабинет ГН</w:t>
            </w:r>
          </w:p>
        </w:tc>
        <w:tc>
          <w:tcPr>
            <w:tcW w:w="1843" w:type="dxa"/>
            <w:shd w:val="clear" w:color="auto" w:fill="auto"/>
            <w:vAlign w:val="center"/>
          </w:tcPr>
          <w:p w:rsidR="009F1766" w:rsidRPr="005114E4" w:rsidRDefault="009F1766" w:rsidP="00385BB8">
            <w:pPr>
              <w:spacing w:after="0" w:line="240" w:lineRule="auto"/>
              <w:jc w:val="center"/>
              <w:rPr>
                <w:rFonts w:ascii="Times New Roman" w:hAnsi="Times New Roman"/>
                <w:b/>
              </w:rPr>
            </w:pPr>
            <w:r w:rsidRPr="005114E4">
              <w:rPr>
                <w:rFonts w:ascii="Times New Roman" w:hAnsi="Times New Roman"/>
              </w:rPr>
              <w:t>одмах и континуирано</w:t>
            </w:r>
          </w:p>
        </w:tc>
        <w:tc>
          <w:tcPr>
            <w:tcW w:w="4293" w:type="dxa"/>
            <w:shd w:val="clear" w:color="auto" w:fill="auto"/>
            <w:vAlign w:val="center"/>
          </w:tcPr>
          <w:p w:rsidR="009F1766" w:rsidRPr="005114E4" w:rsidRDefault="009F1766" w:rsidP="00385BB8">
            <w:pPr>
              <w:spacing w:before="60" w:after="60" w:line="240" w:lineRule="auto"/>
              <w:rPr>
                <w:rFonts w:ascii="Times New Roman" w:hAnsi="Times New Roman"/>
              </w:rPr>
            </w:pPr>
            <w:r>
              <w:rPr>
                <w:rFonts w:ascii="Times New Roman" w:hAnsi="Times New Roman"/>
              </w:rPr>
              <w:t xml:space="preserve">Препорука се реализује у континуитету. </w:t>
            </w:r>
            <w:r w:rsidRPr="005114E4">
              <w:rPr>
                <w:rFonts w:ascii="Times New Roman" w:hAnsi="Times New Roman"/>
              </w:rPr>
              <w:t xml:space="preserve">У току 2021. г. и у периоду од 01.01.2022. године до дана сачињавања овог Акционог плана запошљавање на одређено вријеме је вршено у складу са Законом о службени-цима и намјештеницима. </w:t>
            </w:r>
          </w:p>
          <w:p w:rsidR="009F1766" w:rsidRPr="005114E4" w:rsidRDefault="009F1766" w:rsidP="00385BB8">
            <w:pPr>
              <w:spacing w:before="60" w:after="60" w:line="240" w:lineRule="auto"/>
              <w:rPr>
                <w:rFonts w:ascii="Times New Roman" w:hAnsi="Times New Roman"/>
              </w:rPr>
            </w:pPr>
            <w:r w:rsidRPr="005114E4">
              <w:rPr>
                <w:rFonts w:ascii="Times New Roman" w:hAnsi="Times New Roman"/>
              </w:rPr>
              <w:t xml:space="preserve">Такође, у току 2021. г. расписана су три конкурса за приправнике и проведено је 11 интерних конкурса на основу којих је вршен премјештај службеника. </w:t>
            </w:r>
          </w:p>
          <w:p w:rsidR="009F1766" w:rsidRPr="005114E4" w:rsidRDefault="009F1766" w:rsidP="00385BB8">
            <w:pPr>
              <w:spacing w:before="60" w:after="60" w:line="240" w:lineRule="auto"/>
              <w:rPr>
                <w:rFonts w:ascii="Times New Roman" w:hAnsi="Times New Roman"/>
              </w:rPr>
            </w:pPr>
            <w:r w:rsidRPr="005114E4">
              <w:rPr>
                <w:rFonts w:ascii="Times New Roman" w:hAnsi="Times New Roman"/>
              </w:rPr>
              <w:t>У условима када није извршено именова-ње начелника одјељења/служби у Градској управи који би вршили оцјењивање службеника у ОЈ којима руководе, овај поступак није проведен, према Уредби о поступку и мјерилима за оцјењивање службеника у ЈЛС.</w:t>
            </w:r>
          </w:p>
          <w:p w:rsidR="009F1766" w:rsidRDefault="009F1766" w:rsidP="00385BB8">
            <w:pPr>
              <w:spacing w:before="60" w:after="60" w:line="240" w:lineRule="auto"/>
              <w:rPr>
                <w:rFonts w:ascii="Times New Roman" w:hAnsi="Times New Roman"/>
                <w:lang w:val="sr-Cyrl-CS"/>
              </w:rPr>
            </w:pPr>
            <w:r w:rsidRPr="005114E4">
              <w:rPr>
                <w:rFonts w:ascii="Times New Roman" w:hAnsi="Times New Roman"/>
              </w:rPr>
              <w:t>У наредном периоду Кабинет Градо-начелника, у сарадњи са Одсјеком за управљање људским ресурсима ће предузети мјере да се утврђене неусклађености из 2020. г. не понављају.</w:t>
            </w:r>
            <w:r w:rsidRPr="005114E4">
              <w:rPr>
                <w:rFonts w:ascii="Times New Roman" w:hAnsi="Times New Roman"/>
                <w:lang w:val="sr-Cyrl-CS"/>
              </w:rPr>
              <w:t xml:space="preserve"> </w:t>
            </w:r>
          </w:p>
          <w:p w:rsidR="009F1766" w:rsidRPr="005114E4" w:rsidRDefault="009F1766" w:rsidP="00385BB8">
            <w:pPr>
              <w:spacing w:before="60" w:after="60" w:line="240" w:lineRule="auto"/>
              <w:rPr>
                <w:rFonts w:ascii="Times New Roman" w:hAnsi="Times New Roman"/>
                <w:lang w:val="sr-Cyrl-CS"/>
              </w:rPr>
            </w:pPr>
          </w:p>
        </w:tc>
      </w:tr>
      <w:tr w:rsidR="009F1766" w:rsidRPr="005114E4" w:rsidTr="00385BB8">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rPr>
            </w:pPr>
            <w:r w:rsidRPr="005114E4">
              <w:rPr>
                <w:rFonts w:ascii="Times New Roman" w:hAnsi="Times New Roman"/>
              </w:rPr>
              <w:t>03.</w:t>
            </w:r>
          </w:p>
        </w:tc>
        <w:tc>
          <w:tcPr>
            <w:tcW w:w="1487" w:type="dxa"/>
            <w:shd w:val="clear" w:color="auto" w:fill="auto"/>
            <w:vAlign w:val="center"/>
          </w:tcPr>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3.</w:t>
            </w:r>
          </w:p>
        </w:tc>
        <w:tc>
          <w:tcPr>
            <w:tcW w:w="53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Набавке роба и услуга проводити у складу са чланом 15, 17, 18. и 75. Закона о јавним набавкама.</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 xml:space="preserve">Одсјек за јавне набавке , у сарадњи са ОЈ Градске управе које врше набавке роба, услуга и радова </w:t>
            </w:r>
          </w:p>
        </w:tc>
        <w:tc>
          <w:tcPr>
            <w:tcW w:w="1843" w:type="dxa"/>
            <w:shd w:val="clear" w:color="auto" w:fill="auto"/>
            <w:vAlign w:val="center"/>
          </w:tcPr>
          <w:p w:rsidR="009F1766" w:rsidRPr="005114E4" w:rsidRDefault="009F1766" w:rsidP="00385BB8">
            <w:pPr>
              <w:spacing w:after="0" w:line="240" w:lineRule="auto"/>
              <w:jc w:val="center"/>
              <w:rPr>
                <w:rFonts w:ascii="Times New Roman" w:hAnsi="Times New Roman"/>
                <w:b/>
              </w:rPr>
            </w:pPr>
            <w:r w:rsidRPr="005114E4">
              <w:rPr>
                <w:rFonts w:ascii="Times New Roman" w:hAnsi="Times New Roman"/>
              </w:rPr>
              <w:t>одмах и континуирано</w:t>
            </w:r>
          </w:p>
        </w:tc>
        <w:tc>
          <w:tcPr>
            <w:tcW w:w="4293" w:type="dxa"/>
            <w:shd w:val="clear" w:color="auto" w:fill="auto"/>
            <w:vAlign w:val="center"/>
          </w:tcPr>
          <w:p w:rsidR="009F1766" w:rsidRPr="005114E4" w:rsidRDefault="009F1766" w:rsidP="00385BB8">
            <w:pPr>
              <w:spacing w:before="40" w:after="40" w:line="240" w:lineRule="auto"/>
              <w:ind w:right="-115" w:hanging="43"/>
              <w:jc w:val="both"/>
              <w:rPr>
                <w:rFonts w:ascii="Times New Roman" w:hAnsi="Times New Roman"/>
              </w:rPr>
            </w:pPr>
            <w:r>
              <w:rPr>
                <w:rFonts w:ascii="Times New Roman" w:hAnsi="Times New Roman"/>
              </w:rPr>
              <w:t xml:space="preserve">Препорука се реализује у континуитету. Од стране </w:t>
            </w:r>
            <w:r w:rsidRPr="005114E4">
              <w:rPr>
                <w:rFonts w:ascii="Times New Roman" w:hAnsi="Times New Roman"/>
              </w:rPr>
              <w:t>Одсјек</w:t>
            </w:r>
            <w:r>
              <w:rPr>
                <w:rFonts w:ascii="Times New Roman" w:hAnsi="Times New Roman"/>
              </w:rPr>
              <w:t>а</w:t>
            </w:r>
            <w:r w:rsidRPr="005114E4">
              <w:rPr>
                <w:rFonts w:ascii="Times New Roman" w:hAnsi="Times New Roman"/>
              </w:rPr>
              <w:t xml:space="preserve"> за јавне набавке, инвестициј</w:t>
            </w:r>
            <w:r>
              <w:rPr>
                <w:rFonts w:ascii="Times New Roman" w:hAnsi="Times New Roman"/>
              </w:rPr>
              <w:t>е и надзор је појачана контрола</w:t>
            </w:r>
            <w:r w:rsidRPr="005114E4">
              <w:rPr>
                <w:rFonts w:ascii="Times New Roman" w:hAnsi="Times New Roman"/>
              </w:rPr>
              <w:t xml:space="preserve"> налога за покретање јавних набавки с циљем да  се вриједност сваке покренуте набавке подудара са пројектованим издацима.</w:t>
            </w:r>
          </w:p>
          <w:p w:rsidR="009F1766" w:rsidRPr="005114E4" w:rsidRDefault="009F1766" w:rsidP="00385BB8">
            <w:pPr>
              <w:spacing w:before="40" w:after="40" w:line="240" w:lineRule="auto"/>
              <w:ind w:right="-115" w:hanging="43"/>
              <w:jc w:val="both"/>
              <w:rPr>
                <w:rFonts w:ascii="Times New Roman" w:hAnsi="Times New Roman"/>
              </w:rPr>
            </w:pPr>
            <w:r w:rsidRPr="005114E4">
              <w:rPr>
                <w:rFonts w:ascii="Times New Roman" w:hAnsi="Times New Roman"/>
              </w:rPr>
              <w:t xml:space="preserve">Кабинет Градоначелника, као и друге ПЈ Градске управе </w:t>
            </w:r>
            <w:r>
              <w:rPr>
                <w:rFonts w:ascii="Times New Roman" w:hAnsi="Times New Roman"/>
              </w:rPr>
              <w:t xml:space="preserve">прекинули су </w:t>
            </w:r>
            <w:r w:rsidRPr="005114E4">
              <w:rPr>
                <w:rFonts w:ascii="Times New Roman" w:hAnsi="Times New Roman"/>
              </w:rPr>
              <w:t>са праксом да се закључцима или непосредним уговарањем врше набавке роба, услуга и радова, мимо прописаних процедура.</w:t>
            </w:r>
          </w:p>
          <w:p w:rsidR="009F1766" w:rsidRDefault="009F1766" w:rsidP="00385BB8">
            <w:pPr>
              <w:spacing w:before="40" w:after="40" w:line="240" w:lineRule="auto"/>
              <w:ind w:right="-115" w:hanging="43"/>
              <w:jc w:val="both"/>
              <w:rPr>
                <w:rFonts w:ascii="Times New Roman" w:hAnsi="Times New Roman"/>
              </w:rPr>
            </w:pPr>
            <w:r w:rsidRPr="005114E4">
              <w:rPr>
                <w:rFonts w:ascii="Times New Roman" w:hAnsi="Times New Roman"/>
              </w:rPr>
              <w:t xml:space="preserve">Извршена је пријава свих реализованих уговора за 2021. годину (осим уговора у спору), у складу са чл. 75. Закона о ЈН. Успостављена је контрола која осигурава да </w:t>
            </w:r>
            <w:r w:rsidRPr="005114E4">
              <w:rPr>
                <w:rFonts w:ascii="Times New Roman" w:hAnsi="Times New Roman"/>
              </w:rPr>
              <w:lastRenderedPageBreak/>
              <w:t>се наведени недостаци не понављају (неће се покретати нове набавке уколико  нису достављени обрасци о реализацији претходно окончаних уговора).</w:t>
            </w:r>
          </w:p>
          <w:p w:rsidR="009F1766" w:rsidRPr="005114E4" w:rsidRDefault="009F1766" w:rsidP="00385BB8">
            <w:pPr>
              <w:spacing w:before="40" w:after="40" w:line="240" w:lineRule="auto"/>
              <w:ind w:right="-115" w:hanging="43"/>
              <w:jc w:val="both"/>
              <w:rPr>
                <w:rFonts w:ascii="Times New Roman" w:hAnsi="Times New Roman"/>
              </w:rPr>
            </w:pPr>
          </w:p>
        </w:tc>
      </w:tr>
      <w:tr w:rsidR="009F1766" w:rsidRPr="005114E4" w:rsidTr="00385BB8">
        <w:trPr>
          <w:trHeight w:val="2057"/>
        </w:trPr>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rPr>
            </w:pPr>
            <w:r w:rsidRPr="005114E4">
              <w:rPr>
                <w:rFonts w:ascii="Times New Roman" w:hAnsi="Times New Roman"/>
              </w:rPr>
              <w:lastRenderedPageBreak/>
              <w:t>04.</w:t>
            </w:r>
          </w:p>
        </w:tc>
        <w:tc>
          <w:tcPr>
            <w:tcW w:w="1487" w:type="dxa"/>
            <w:shd w:val="clear" w:color="auto" w:fill="auto"/>
          </w:tcPr>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4.</w:t>
            </w:r>
          </w:p>
        </w:tc>
        <w:tc>
          <w:tcPr>
            <w:tcW w:w="5317"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Остале издатке за отплату дуга по основу активираних гаранција на кредите јавних предузећа планирати у складу са чланом 6. став (2) Закона о буџетском систему Републике Српске и чланом 61. став (3) Закона о задуживању, дугу и гаранцијама РС.</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Одјељење за финансије</w:t>
            </w:r>
          </w:p>
        </w:tc>
        <w:tc>
          <w:tcPr>
            <w:tcW w:w="1843"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 xml:space="preserve">сваке године приликом усвајања буџета </w:t>
            </w:r>
          </w:p>
        </w:tc>
        <w:tc>
          <w:tcPr>
            <w:tcW w:w="4293" w:type="dxa"/>
            <w:shd w:val="clear" w:color="auto" w:fill="auto"/>
            <w:vAlign w:val="center"/>
          </w:tcPr>
          <w:p w:rsidR="009F1766" w:rsidRPr="005114E4" w:rsidRDefault="009F1766" w:rsidP="00385BB8">
            <w:pPr>
              <w:spacing w:before="60" w:after="60" w:line="240" w:lineRule="auto"/>
              <w:ind w:right="-108"/>
              <w:jc w:val="both"/>
              <w:rPr>
                <w:rFonts w:ascii="Times New Roman" w:hAnsi="Times New Roman"/>
              </w:rPr>
            </w:pPr>
            <w:r w:rsidRPr="005114E4">
              <w:rPr>
                <w:rFonts w:ascii="Times New Roman" w:hAnsi="Times New Roman"/>
              </w:rPr>
              <w:t xml:space="preserve">Препорука је реализована. Одлуком о буџету Града Бијељина за 2022. г („Сл. гл. Града Бијељина“, бр. 1/22) планирана је буџетска позиција за очекиване издатке по основу активирања гаранција у овој години. </w:t>
            </w:r>
          </w:p>
          <w:p w:rsidR="009F1766" w:rsidRDefault="009F1766" w:rsidP="00385BB8">
            <w:pPr>
              <w:spacing w:before="60" w:after="60" w:line="240" w:lineRule="auto"/>
              <w:jc w:val="both"/>
              <w:rPr>
                <w:rFonts w:ascii="Times New Roman" w:hAnsi="Times New Roman"/>
              </w:rPr>
            </w:pPr>
            <w:r w:rsidRPr="005114E4">
              <w:rPr>
                <w:rFonts w:ascii="Times New Roman" w:hAnsi="Times New Roman"/>
              </w:rPr>
              <w:t>У наредном периоду вршиће се процјена ових издатака и сходно томе планирање износа на одговарајућој позицији класе 6.</w:t>
            </w:r>
          </w:p>
          <w:p w:rsidR="009F1766" w:rsidRPr="005114E4" w:rsidRDefault="009F1766" w:rsidP="00385BB8">
            <w:pPr>
              <w:spacing w:before="60" w:after="60" w:line="240" w:lineRule="auto"/>
              <w:jc w:val="both"/>
              <w:rPr>
                <w:rFonts w:ascii="Times New Roman" w:hAnsi="Times New Roman"/>
              </w:rPr>
            </w:pPr>
          </w:p>
        </w:tc>
      </w:tr>
      <w:tr w:rsidR="009F1766" w:rsidRPr="005114E4" w:rsidTr="00385BB8">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rPr>
            </w:pPr>
            <w:r w:rsidRPr="005114E4">
              <w:rPr>
                <w:rFonts w:ascii="Times New Roman" w:hAnsi="Times New Roman"/>
              </w:rPr>
              <w:t>05.</w:t>
            </w:r>
          </w:p>
        </w:tc>
        <w:tc>
          <w:tcPr>
            <w:tcW w:w="1487" w:type="dxa"/>
            <w:shd w:val="clear" w:color="auto" w:fill="auto"/>
          </w:tcPr>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5.</w:t>
            </w:r>
          </w:p>
        </w:tc>
        <w:tc>
          <w:tcPr>
            <w:tcW w:w="5317"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Обавезе  не  стварати изнад висине оквира утврђеног  буџетом,  реалокације вршити у прописаном року и извршење буџета вршити до рока за достављање годишњих финансијских извјештаја у складу са Одлуком о извршењу буџета Града Бијељина за конкретну годину.</w:t>
            </w:r>
          </w:p>
        </w:tc>
        <w:tc>
          <w:tcPr>
            <w:tcW w:w="1417" w:type="dxa"/>
            <w:shd w:val="clear" w:color="auto" w:fill="auto"/>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надлежна одјељења Градске управе и остали буџетски корисници</w:t>
            </w:r>
          </w:p>
        </w:tc>
        <w:tc>
          <w:tcPr>
            <w:tcW w:w="1843" w:type="dxa"/>
            <w:shd w:val="clear" w:color="auto" w:fill="auto"/>
          </w:tcPr>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континурано за сваку буџетску годину</w:t>
            </w:r>
          </w:p>
        </w:tc>
        <w:tc>
          <w:tcPr>
            <w:tcW w:w="4293" w:type="dxa"/>
            <w:shd w:val="clear" w:color="auto" w:fill="auto"/>
          </w:tcPr>
          <w:p w:rsidR="009F1766" w:rsidRPr="005114E4" w:rsidRDefault="009F1766" w:rsidP="00385BB8">
            <w:pPr>
              <w:spacing w:before="60" w:after="60" w:line="240" w:lineRule="auto"/>
              <w:jc w:val="both"/>
              <w:rPr>
                <w:rFonts w:ascii="Times New Roman" w:hAnsi="Times New Roman"/>
              </w:rPr>
            </w:pPr>
            <w:r w:rsidRPr="005114E4">
              <w:rPr>
                <w:rFonts w:ascii="Times New Roman" w:hAnsi="Times New Roman"/>
              </w:rPr>
              <w:t xml:space="preserve">Препорука је реализована у 2021. </w:t>
            </w:r>
            <w:proofErr w:type="gramStart"/>
            <w:r w:rsidRPr="005114E4">
              <w:rPr>
                <w:rFonts w:ascii="Times New Roman" w:hAnsi="Times New Roman"/>
              </w:rPr>
              <w:t>години</w:t>
            </w:r>
            <w:proofErr w:type="gramEnd"/>
            <w:r w:rsidRPr="005114E4">
              <w:rPr>
                <w:rFonts w:ascii="Times New Roman" w:hAnsi="Times New Roman"/>
              </w:rPr>
              <w:t xml:space="preserve"> везано за трансакције из тог периода.</w:t>
            </w:r>
          </w:p>
          <w:p w:rsidR="009F1766" w:rsidRDefault="009F1766" w:rsidP="00385BB8">
            <w:pPr>
              <w:spacing w:before="60" w:after="60" w:line="240" w:lineRule="auto"/>
              <w:jc w:val="both"/>
              <w:rPr>
                <w:rFonts w:ascii="Times New Roman" w:hAnsi="Times New Roman"/>
              </w:rPr>
            </w:pPr>
            <w:r w:rsidRPr="005114E4">
              <w:rPr>
                <w:rFonts w:ascii="Times New Roman" w:hAnsi="Times New Roman"/>
              </w:rPr>
              <w:t>У наредном периоду успоставиће се контроле које обезбеђују да се средства троше само до висине одобрених, уз евентуалне реалокације у складу са Одлуком о извршењу буџета, у прописаним роковима (до краја јануара).</w:t>
            </w:r>
          </w:p>
          <w:p w:rsidR="009F1766" w:rsidRPr="005114E4" w:rsidRDefault="009F1766" w:rsidP="00385BB8">
            <w:pPr>
              <w:spacing w:before="60" w:after="60" w:line="240" w:lineRule="auto"/>
              <w:jc w:val="both"/>
              <w:rPr>
                <w:rFonts w:ascii="Times New Roman" w:hAnsi="Times New Roman"/>
              </w:rPr>
            </w:pPr>
          </w:p>
        </w:tc>
      </w:tr>
      <w:tr w:rsidR="009F1766" w:rsidRPr="005114E4" w:rsidTr="00385BB8">
        <w:trPr>
          <w:trHeight w:val="444"/>
        </w:trPr>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rPr>
            </w:pPr>
            <w:r w:rsidRPr="005114E4">
              <w:rPr>
                <w:rFonts w:ascii="Times New Roman" w:hAnsi="Times New Roman"/>
              </w:rPr>
              <w:t>06.</w:t>
            </w:r>
          </w:p>
        </w:tc>
        <w:tc>
          <w:tcPr>
            <w:tcW w:w="1487" w:type="dxa"/>
            <w:shd w:val="clear" w:color="auto" w:fill="auto"/>
            <w:vAlign w:val="center"/>
          </w:tcPr>
          <w:p w:rsidR="009F1766" w:rsidRPr="005114E4" w:rsidRDefault="009F1766" w:rsidP="00385BB8">
            <w:pPr>
              <w:spacing w:after="0" w:line="240" w:lineRule="auto"/>
              <w:jc w:val="center"/>
              <w:rPr>
                <w:rFonts w:ascii="Times New Roman" w:hAnsi="Times New Roman"/>
              </w:rPr>
            </w:pPr>
          </w:p>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6.</w:t>
            </w:r>
          </w:p>
        </w:tc>
        <w:tc>
          <w:tcPr>
            <w:tcW w:w="53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Извршити усаглашавање стања помоћних књига и Главне књиге трезора у складу са чланом 18. став (8) и чланом 27. став (3) Закона о трезору.</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b/>
              </w:rPr>
            </w:pPr>
            <w:r w:rsidRPr="005114E4">
              <w:rPr>
                <w:rFonts w:ascii="Times New Roman" w:hAnsi="Times New Roman"/>
              </w:rPr>
              <w:t>Одјељење за финансије</w:t>
            </w:r>
          </w:p>
        </w:tc>
        <w:tc>
          <w:tcPr>
            <w:tcW w:w="1843"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у континитету</w:t>
            </w:r>
          </w:p>
        </w:tc>
        <w:tc>
          <w:tcPr>
            <w:tcW w:w="4293" w:type="dxa"/>
            <w:shd w:val="clear" w:color="auto" w:fill="auto"/>
            <w:vAlign w:val="center"/>
          </w:tcPr>
          <w:p w:rsidR="009F1766" w:rsidRDefault="009F1766" w:rsidP="00385BB8">
            <w:pPr>
              <w:spacing w:after="0" w:line="240" w:lineRule="auto"/>
              <w:jc w:val="both"/>
              <w:rPr>
                <w:rFonts w:ascii="Times New Roman" w:hAnsi="Times New Roman"/>
              </w:rPr>
            </w:pPr>
            <w:r>
              <w:rPr>
                <w:rFonts w:ascii="Times New Roman" w:hAnsi="Times New Roman"/>
              </w:rPr>
              <w:t xml:space="preserve">Препорука се реализује у континуитету. </w:t>
            </w:r>
            <w:r w:rsidRPr="005114E4">
              <w:rPr>
                <w:rFonts w:ascii="Times New Roman" w:hAnsi="Times New Roman"/>
              </w:rPr>
              <w:t xml:space="preserve">Како би се избјегле неусаглашености стања помоћних књига и Главне књиге трезора Одјељење за финансије ће обезбиједити да се уредно попуњавају трезорски обрасци за све трансакције и пословне догађаје, уз двојне контроле. То подразумијева да се у Одсјеку који води помоћне књиге за одговарајући модул локалног трезора врши уредно попуњавање образаца, а у Одсјеку за трезор провјерава тачност и исправност прије уноса и преноса података из помоћних књига (модула) у главну књигу трезора Града. Приликом уноса података </w:t>
            </w:r>
            <w:r w:rsidRPr="005114E4">
              <w:rPr>
                <w:rFonts w:ascii="Times New Roman" w:hAnsi="Times New Roman"/>
              </w:rPr>
              <w:lastRenderedPageBreak/>
              <w:t>са трезорских образаца/налога доследно ће се поштовати правила трезорског пословања. Успоставиће се поуздана контрола тако да се евидентирање врши на одговарајућим рачунима (прекинуће се пракса непрописног књижења на конту временских разграничења или обрачунских расхода, као до сада у случајевима недостатка средстава на буџетским позицијама).</w:t>
            </w:r>
          </w:p>
          <w:p w:rsidR="009F1766" w:rsidRPr="005114E4" w:rsidRDefault="009F1766" w:rsidP="00385BB8">
            <w:pPr>
              <w:spacing w:after="0" w:line="240" w:lineRule="auto"/>
              <w:jc w:val="both"/>
              <w:rPr>
                <w:rFonts w:ascii="Times New Roman" w:hAnsi="Times New Roman"/>
              </w:rPr>
            </w:pPr>
          </w:p>
        </w:tc>
      </w:tr>
      <w:tr w:rsidR="009F1766" w:rsidRPr="005114E4" w:rsidTr="00385BB8">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rPr>
            </w:pPr>
            <w:r w:rsidRPr="005114E4">
              <w:rPr>
                <w:rFonts w:ascii="Times New Roman" w:hAnsi="Times New Roman"/>
              </w:rPr>
              <w:lastRenderedPageBreak/>
              <w:t>07.</w:t>
            </w:r>
          </w:p>
        </w:tc>
        <w:tc>
          <w:tcPr>
            <w:tcW w:w="148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7.</w:t>
            </w:r>
          </w:p>
        </w:tc>
        <w:tc>
          <w:tcPr>
            <w:tcW w:w="5317"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 xml:space="preserve">Број запослених извршилаца у Туристичкој организацији Бијељина ускладити са чланом 3. Правилника о унутрашњој организацији и систематизацији радних мјеста </w:t>
            </w:r>
          </w:p>
        </w:tc>
        <w:tc>
          <w:tcPr>
            <w:tcW w:w="1417" w:type="dxa"/>
            <w:shd w:val="clear" w:color="auto" w:fill="auto"/>
            <w:vAlign w:val="center"/>
          </w:tcPr>
          <w:p w:rsidR="009F1766" w:rsidRPr="005114E4" w:rsidRDefault="009F1766" w:rsidP="00385BB8">
            <w:pPr>
              <w:spacing w:after="0" w:line="240" w:lineRule="auto"/>
              <w:ind w:right="-108"/>
              <w:jc w:val="center"/>
              <w:rPr>
                <w:rFonts w:ascii="Times New Roman" w:hAnsi="Times New Roman"/>
              </w:rPr>
            </w:pPr>
            <w:r w:rsidRPr="005114E4">
              <w:rPr>
                <w:rFonts w:ascii="Times New Roman" w:hAnsi="Times New Roman"/>
              </w:rPr>
              <w:t xml:space="preserve">Туристичка организација </w:t>
            </w:r>
          </w:p>
        </w:tc>
        <w:tc>
          <w:tcPr>
            <w:tcW w:w="1843"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одмах и континуирано</w:t>
            </w:r>
          </w:p>
        </w:tc>
        <w:tc>
          <w:tcPr>
            <w:tcW w:w="4293" w:type="dxa"/>
            <w:shd w:val="clear" w:color="auto" w:fill="auto"/>
            <w:vAlign w:val="center"/>
          </w:tcPr>
          <w:p w:rsidR="009F1766" w:rsidRPr="005114E4" w:rsidRDefault="009F1766" w:rsidP="00385BB8">
            <w:pPr>
              <w:spacing w:after="0" w:line="240" w:lineRule="auto"/>
              <w:jc w:val="both"/>
              <w:rPr>
                <w:rFonts w:ascii="Times New Roman" w:hAnsi="Times New Roman"/>
              </w:rPr>
            </w:pPr>
            <w:r>
              <w:rPr>
                <w:rFonts w:ascii="Times New Roman" w:hAnsi="Times New Roman"/>
              </w:rPr>
              <w:t xml:space="preserve">Препорука је реализована. </w:t>
            </w:r>
            <w:r w:rsidRPr="005114E4">
              <w:rPr>
                <w:rFonts w:ascii="Times New Roman" w:hAnsi="Times New Roman"/>
              </w:rPr>
              <w:t xml:space="preserve">Правилником о унутрашњој организацији и систематизацији радних мјеста у ТОГБ, број 340/21 од 11.05.2021. г. усклађен је број извршилаца са бројем запослених радника. Сагласност на Правилник дата је Рјешењем Градоначелника, број       </w:t>
            </w:r>
          </w:p>
          <w:p w:rsidR="009F1766" w:rsidRDefault="009F1766" w:rsidP="00385BB8">
            <w:pPr>
              <w:spacing w:after="0" w:line="240" w:lineRule="auto"/>
              <w:jc w:val="both"/>
              <w:rPr>
                <w:rFonts w:ascii="Times New Roman" w:hAnsi="Times New Roman"/>
              </w:rPr>
            </w:pPr>
            <w:r w:rsidRPr="005114E4">
              <w:rPr>
                <w:rFonts w:ascii="Times New Roman" w:hAnsi="Times New Roman"/>
              </w:rPr>
              <w:t>02-014-1-977/21 од 12.05.2021. године.</w:t>
            </w:r>
          </w:p>
          <w:p w:rsidR="009F1766" w:rsidRPr="005114E4" w:rsidRDefault="009F1766" w:rsidP="00385BB8">
            <w:pPr>
              <w:spacing w:after="0" w:line="240" w:lineRule="auto"/>
              <w:jc w:val="both"/>
              <w:rPr>
                <w:rFonts w:ascii="Times New Roman" w:hAnsi="Times New Roman"/>
                <w:b/>
              </w:rPr>
            </w:pPr>
          </w:p>
        </w:tc>
      </w:tr>
      <w:tr w:rsidR="009F1766" w:rsidRPr="005114E4" w:rsidTr="00385BB8">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rPr>
            </w:pPr>
            <w:r w:rsidRPr="005114E4">
              <w:rPr>
                <w:rFonts w:ascii="Times New Roman" w:hAnsi="Times New Roman"/>
              </w:rPr>
              <w:t>08.</w:t>
            </w:r>
          </w:p>
        </w:tc>
        <w:tc>
          <w:tcPr>
            <w:tcW w:w="148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8.</w:t>
            </w:r>
          </w:p>
        </w:tc>
        <w:tc>
          <w:tcPr>
            <w:tcW w:w="5317"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Обезбиједити да се потписана и овјерена изјава о фискалној одговорности доставља надлежном органу у складу са чланом 4. Закона о фискалној одговорности.</w:t>
            </w:r>
          </w:p>
        </w:tc>
        <w:tc>
          <w:tcPr>
            <w:tcW w:w="1417" w:type="dxa"/>
            <w:shd w:val="clear" w:color="auto" w:fill="auto"/>
            <w:vAlign w:val="center"/>
          </w:tcPr>
          <w:p w:rsidR="009F1766" w:rsidRPr="005114E4" w:rsidRDefault="009F1766" w:rsidP="00385BB8">
            <w:pPr>
              <w:spacing w:after="0" w:line="240" w:lineRule="auto"/>
              <w:ind w:right="-108"/>
              <w:jc w:val="center"/>
              <w:rPr>
                <w:rFonts w:ascii="Times New Roman" w:hAnsi="Times New Roman"/>
                <w:b/>
              </w:rPr>
            </w:pPr>
            <w:r w:rsidRPr="005114E4">
              <w:rPr>
                <w:rFonts w:ascii="Times New Roman" w:hAnsi="Times New Roman"/>
              </w:rPr>
              <w:t>Туристичка организација и Одјељење за финансије</w:t>
            </w:r>
          </w:p>
        </w:tc>
        <w:tc>
          <w:tcPr>
            <w:tcW w:w="1843"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у току усвајања буџета или ребаланса</w:t>
            </w:r>
          </w:p>
        </w:tc>
        <w:tc>
          <w:tcPr>
            <w:tcW w:w="4293" w:type="dxa"/>
            <w:shd w:val="clear" w:color="auto" w:fill="auto"/>
            <w:vAlign w:val="center"/>
          </w:tcPr>
          <w:p w:rsidR="009F1766" w:rsidRPr="005114E4" w:rsidRDefault="009F1766" w:rsidP="00385BB8">
            <w:pPr>
              <w:spacing w:before="60" w:after="60" w:line="240" w:lineRule="auto"/>
              <w:jc w:val="both"/>
              <w:rPr>
                <w:rFonts w:ascii="Times New Roman" w:hAnsi="Times New Roman"/>
              </w:rPr>
            </w:pPr>
            <w:r w:rsidRPr="005114E4">
              <w:rPr>
                <w:rFonts w:ascii="Times New Roman" w:hAnsi="Times New Roman"/>
              </w:rPr>
              <w:t>Препорука је реализована. Изјава о фискалној одговорности за буџет и ребаланс 2021. године достављена је Одсјеку за буџет. Такође је 25.01.2022. г. приликом усвајања буџета за 2022. г. достављена фискална изјава одговорног лица из ТОГБ (и свих осталих буџетских корисника), у складу са прописима.</w:t>
            </w:r>
          </w:p>
          <w:p w:rsidR="009F1766" w:rsidRPr="005114E4" w:rsidRDefault="009F1766" w:rsidP="00385BB8">
            <w:pPr>
              <w:spacing w:before="60" w:after="60" w:line="240" w:lineRule="auto"/>
              <w:jc w:val="both"/>
              <w:rPr>
                <w:rFonts w:ascii="Times New Roman" w:hAnsi="Times New Roman"/>
              </w:rPr>
            </w:pPr>
            <w:r w:rsidRPr="005114E4">
              <w:rPr>
                <w:rFonts w:ascii="Times New Roman" w:hAnsi="Times New Roman"/>
              </w:rPr>
              <w:t>У наредном периоду предузеће се мјере да сви корисници буџета благовремено доставе фискалне изјаве (успоставиће се правила по којима није могуће користити средства уколико изјава није достављена).</w:t>
            </w:r>
          </w:p>
        </w:tc>
      </w:tr>
      <w:tr w:rsidR="009F1766" w:rsidRPr="005114E4" w:rsidTr="00385BB8">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rPr>
            </w:pPr>
            <w:r w:rsidRPr="005114E4">
              <w:rPr>
                <w:rFonts w:ascii="Times New Roman" w:hAnsi="Times New Roman"/>
              </w:rPr>
              <w:t>09.</w:t>
            </w:r>
          </w:p>
        </w:tc>
        <w:tc>
          <w:tcPr>
            <w:tcW w:w="148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9.</w:t>
            </w:r>
          </w:p>
        </w:tc>
        <w:tc>
          <w:tcPr>
            <w:tcW w:w="5317"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Обрачун плата и накнада у Градској управи и Туристичкој организацији вршити у складу Посебним колективним уговором за запослене у области локалне самоуправе Републике Српске.</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 xml:space="preserve">Одјељење за финансије, </w:t>
            </w:r>
          </w:p>
          <w:p w:rsidR="009F1766" w:rsidRPr="005114E4" w:rsidRDefault="009F1766" w:rsidP="00385BB8">
            <w:pPr>
              <w:spacing w:after="0" w:line="240" w:lineRule="auto"/>
              <w:ind w:right="-108"/>
              <w:jc w:val="center"/>
              <w:rPr>
                <w:rFonts w:ascii="Times New Roman" w:hAnsi="Times New Roman"/>
              </w:rPr>
            </w:pPr>
            <w:r w:rsidRPr="005114E4">
              <w:rPr>
                <w:rFonts w:ascii="Times New Roman" w:hAnsi="Times New Roman"/>
              </w:rPr>
              <w:t>Туристичка организација</w:t>
            </w:r>
          </w:p>
        </w:tc>
        <w:tc>
          <w:tcPr>
            <w:tcW w:w="1843" w:type="dxa"/>
            <w:shd w:val="clear" w:color="auto" w:fill="auto"/>
            <w:vAlign w:val="center"/>
          </w:tcPr>
          <w:p w:rsidR="009F1766" w:rsidRPr="005114E4" w:rsidRDefault="009F1766" w:rsidP="00385BB8">
            <w:pPr>
              <w:spacing w:after="0" w:line="240" w:lineRule="auto"/>
              <w:rPr>
                <w:rFonts w:ascii="Times New Roman" w:hAnsi="Times New Roman"/>
              </w:rPr>
            </w:pPr>
          </w:p>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приликом обрачуна плате у Градској управи и Туристичкој организацији</w:t>
            </w:r>
          </w:p>
        </w:tc>
        <w:tc>
          <w:tcPr>
            <w:tcW w:w="4293" w:type="dxa"/>
            <w:shd w:val="clear" w:color="auto" w:fill="auto"/>
            <w:vAlign w:val="center"/>
          </w:tcPr>
          <w:p w:rsidR="009F1766" w:rsidRDefault="009F1766" w:rsidP="00385BB8">
            <w:pPr>
              <w:spacing w:before="40" w:after="40" w:line="240" w:lineRule="auto"/>
              <w:jc w:val="both"/>
              <w:rPr>
                <w:rFonts w:ascii="Times New Roman" w:hAnsi="Times New Roman"/>
              </w:rPr>
            </w:pPr>
            <w:r>
              <w:rPr>
                <w:rFonts w:ascii="Times New Roman" w:hAnsi="Times New Roman"/>
              </w:rPr>
              <w:t xml:space="preserve">Препорука је реализована. Правилник о унутрашњој организацији и систематизацији радних мјеста у Туристичкој организацији усклађен је са Посебним колективним уговором за запослене у области локалне самоуправе РС. Број Правилника о унутрашњој </w:t>
            </w:r>
            <w:r>
              <w:rPr>
                <w:rFonts w:ascii="Times New Roman" w:hAnsi="Times New Roman"/>
              </w:rPr>
              <w:lastRenderedPageBreak/>
              <w:t>организацији и систематизацији радних мјеста у Туристичкој организацији је 151/22 од 18.02.2022. године. Рјешење о давању сагласности на поменути Правилник од стране Градоначелника Града Бијељина број: 02-014-1-357/22 од 22.02.2022. године.</w:t>
            </w:r>
          </w:p>
          <w:p w:rsidR="009F1766" w:rsidRPr="005114E4" w:rsidRDefault="009F1766" w:rsidP="00385BB8">
            <w:pPr>
              <w:spacing w:before="40" w:after="40" w:line="240" w:lineRule="auto"/>
              <w:jc w:val="both"/>
              <w:rPr>
                <w:rFonts w:ascii="Times New Roman" w:hAnsi="Times New Roman"/>
              </w:rPr>
            </w:pPr>
          </w:p>
        </w:tc>
      </w:tr>
      <w:tr w:rsidR="009F1766" w:rsidRPr="005114E4" w:rsidTr="00385BB8">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rPr>
            </w:pPr>
            <w:r w:rsidRPr="005114E4">
              <w:rPr>
                <w:rFonts w:ascii="Times New Roman" w:hAnsi="Times New Roman"/>
              </w:rPr>
              <w:lastRenderedPageBreak/>
              <w:t>10.</w:t>
            </w:r>
          </w:p>
        </w:tc>
        <w:tc>
          <w:tcPr>
            <w:tcW w:w="148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10.</w:t>
            </w:r>
          </w:p>
        </w:tc>
        <w:tc>
          <w:tcPr>
            <w:tcW w:w="5317"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Обавезе  не стварати изнад висине оквира утврђеног  буџетом и извршење буџета вршити до рока за достављање годишњих финансисјких извјештаја у складу са Одлуком о извршењу буџета Града Бијељина за конкретну годину.</w:t>
            </w:r>
          </w:p>
        </w:tc>
        <w:tc>
          <w:tcPr>
            <w:tcW w:w="1417" w:type="dxa"/>
            <w:shd w:val="clear" w:color="auto" w:fill="auto"/>
            <w:vAlign w:val="center"/>
          </w:tcPr>
          <w:p w:rsidR="009F1766" w:rsidRPr="005114E4" w:rsidRDefault="009F1766" w:rsidP="00385BB8">
            <w:pPr>
              <w:spacing w:after="0" w:line="240" w:lineRule="auto"/>
              <w:ind w:right="-108"/>
              <w:jc w:val="center"/>
              <w:rPr>
                <w:rFonts w:ascii="Times New Roman" w:hAnsi="Times New Roman"/>
                <w:b/>
              </w:rPr>
            </w:pPr>
            <w:r w:rsidRPr="005114E4">
              <w:rPr>
                <w:rFonts w:ascii="Times New Roman" w:hAnsi="Times New Roman"/>
              </w:rPr>
              <w:t xml:space="preserve">Туристичка организација, Центар за соц. рад и Одјељење за финасије </w:t>
            </w:r>
          </w:p>
        </w:tc>
        <w:tc>
          <w:tcPr>
            <w:tcW w:w="1843"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у свакој фискалној години</w:t>
            </w:r>
          </w:p>
        </w:tc>
        <w:tc>
          <w:tcPr>
            <w:tcW w:w="4293" w:type="dxa"/>
            <w:shd w:val="clear" w:color="auto" w:fill="auto"/>
            <w:vAlign w:val="center"/>
          </w:tcPr>
          <w:p w:rsidR="009F1766" w:rsidRDefault="009F1766" w:rsidP="00385BB8">
            <w:pPr>
              <w:spacing w:before="60" w:after="60" w:line="240" w:lineRule="auto"/>
              <w:jc w:val="both"/>
              <w:rPr>
                <w:rFonts w:ascii="Times New Roman" w:hAnsi="Times New Roman"/>
              </w:rPr>
            </w:pPr>
            <w:r w:rsidRPr="005114E4">
              <w:rPr>
                <w:rFonts w:ascii="Times New Roman" w:hAnsi="Times New Roman"/>
              </w:rPr>
              <w:t>Препорука је реализована. У току 2021. године у Туристичкој оргаизацији и ЈУ Центар за социјални рад нису стваране  обавезе изнад висине оквира утврђеног буџета за ту годину.</w:t>
            </w:r>
            <w:r>
              <w:rPr>
                <w:rFonts w:ascii="Times New Roman" w:hAnsi="Times New Roman"/>
              </w:rPr>
              <w:t xml:space="preserve"> </w:t>
            </w:r>
            <w:r w:rsidRPr="005114E4">
              <w:rPr>
                <w:rFonts w:ascii="Times New Roman" w:hAnsi="Times New Roman"/>
              </w:rPr>
              <w:t xml:space="preserve">Одјељење за финансије ће поштовати интерна правила о враћању трезорских образаца у случају недостајућих средстава. </w:t>
            </w:r>
          </w:p>
          <w:p w:rsidR="009F1766" w:rsidRPr="008B00DE" w:rsidRDefault="009F1766" w:rsidP="00385BB8">
            <w:pPr>
              <w:spacing w:before="60" w:after="60" w:line="240" w:lineRule="auto"/>
              <w:jc w:val="both"/>
              <w:rPr>
                <w:rFonts w:ascii="Times New Roman" w:hAnsi="Times New Roman"/>
              </w:rPr>
            </w:pPr>
          </w:p>
        </w:tc>
      </w:tr>
      <w:tr w:rsidR="009F1766" w:rsidRPr="005114E4" w:rsidTr="00385BB8">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rPr>
            </w:pPr>
            <w:r w:rsidRPr="005114E4">
              <w:rPr>
                <w:rFonts w:ascii="Times New Roman" w:hAnsi="Times New Roman"/>
              </w:rPr>
              <w:t>11.</w:t>
            </w:r>
          </w:p>
        </w:tc>
        <w:tc>
          <w:tcPr>
            <w:tcW w:w="148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11.</w:t>
            </w:r>
          </w:p>
        </w:tc>
        <w:tc>
          <w:tcPr>
            <w:tcW w:w="5317"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Једнократне помоћи у Центру за социјални рад исплаћивати након што се изврше све прописане процедуре у складу са чланом 54. и 65. Закона о социјалној заштити Републике Српске.</w:t>
            </w:r>
          </w:p>
        </w:tc>
        <w:tc>
          <w:tcPr>
            <w:tcW w:w="141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ЈУ Центар за социјални рад</w:t>
            </w:r>
          </w:p>
        </w:tc>
        <w:tc>
          <w:tcPr>
            <w:tcW w:w="1843" w:type="dxa"/>
            <w:shd w:val="clear" w:color="auto" w:fill="auto"/>
            <w:vAlign w:val="center"/>
          </w:tcPr>
          <w:p w:rsidR="009F1766" w:rsidRPr="005114E4" w:rsidRDefault="009F1766" w:rsidP="00385BB8">
            <w:pPr>
              <w:spacing w:after="0" w:line="240" w:lineRule="auto"/>
              <w:jc w:val="center"/>
              <w:rPr>
                <w:rFonts w:ascii="Times New Roman" w:hAnsi="Times New Roman"/>
                <w:b/>
              </w:rPr>
            </w:pPr>
            <w:r w:rsidRPr="005114E4">
              <w:rPr>
                <w:rFonts w:ascii="Times New Roman" w:hAnsi="Times New Roman"/>
              </w:rPr>
              <w:t>у свакој фискалној години</w:t>
            </w:r>
          </w:p>
        </w:tc>
        <w:tc>
          <w:tcPr>
            <w:tcW w:w="4293" w:type="dxa"/>
            <w:shd w:val="clear" w:color="auto" w:fill="auto"/>
            <w:vAlign w:val="center"/>
          </w:tcPr>
          <w:p w:rsidR="009F1766" w:rsidRDefault="009F1766" w:rsidP="00385BB8">
            <w:pPr>
              <w:spacing w:after="0" w:line="240" w:lineRule="auto"/>
              <w:jc w:val="both"/>
              <w:rPr>
                <w:rFonts w:ascii="Times New Roman" w:hAnsi="Times New Roman"/>
              </w:rPr>
            </w:pPr>
            <w:r w:rsidRPr="005114E4">
              <w:rPr>
                <w:rFonts w:ascii="Times New Roman" w:hAnsi="Times New Roman"/>
              </w:rPr>
              <w:t>Препорука је реализована. Исплате једнократних помоћи се врше по поступцима који су прописани Законом о социјалној заштити, Законом о управном поступку и интерним актима Центра.</w:t>
            </w:r>
          </w:p>
          <w:p w:rsidR="009F1766" w:rsidRPr="005114E4" w:rsidRDefault="009F1766" w:rsidP="00385BB8">
            <w:pPr>
              <w:spacing w:after="0" w:line="240" w:lineRule="auto"/>
              <w:jc w:val="both"/>
              <w:rPr>
                <w:rFonts w:ascii="Times New Roman" w:hAnsi="Times New Roman"/>
              </w:rPr>
            </w:pPr>
          </w:p>
        </w:tc>
      </w:tr>
      <w:tr w:rsidR="009F1766" w:rsidRPr="005114E4" w:rsidTr="00824E8B">
        <w:trPr>
          <w:trHeight w:val="1520"/>
        </w:trPr>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rPr>
            </w:pPr>
            <w:r w:rsidRPr="005114E4">
              <w:rPr>
                <w:rFonts w:ascii="Times New Roman" w:hAnsi="Times New Roman"/>
              </w:rPr>
              <w:t>12.</w:t>
            </w:r>
          </w:p>
        </w:tc>
        <w:tc>
          <w:tcPr>
            <w:tcW w:w="1487" w:type="dxa"/>
            <w:shd w:val="clear" w:color="auto" w:fill="auto"/>
            <w:vAlign w:val="center"/>
          </w:tcPr>
          <w:p w:rsidR="009F1766" w:rsidRPr="00707403" w:rsidRDefault="009F1766" w:rsidP="00385BB8">
            <w:pPr>
              <w:spacing w:after="0" w:line="240" w:lineRule="auto"/>
              <w:jc w:val="center"/>
              <w:rPr>
                <w:rFonts w:ascii="Times New Roman" w:hAnsi="Times New Roman"/>
                <w:b/>
              </w:rPr>
            </w:pPr>
            <w:r w:rsidRPr="00707403">
              <w:rPr>
                <w:rFonts w:ascii="Times New Roman" w:hAnsi="Times New Roman"/>
                <w:b/>
              </w:rPr>
              <w:t>Препорука број 12.</w:t>
            </w:r>
          </w:p>
        </w:tc>
        <w:tc>
          <w:tcPr>
            <w:tcW w:w="5317" w:type="dxa"/>
            <w:shd w:val="clear" w:color="auto" w:fill="auto"/>
            <w:vAlign w:val="center"/>
          </w:tcPr>
          <w:p w:rsidR="009F1766" w:rsidRPr="00707403" w:rsidRDefault="009F1766" w:rsidP="00385BB8">
            <w:pPr>
              <w:spacing w:after="0" w:line="240" w:lineRule="auto"/>
              <w:jc w:val="both"/>
              <w:rPr>
                <w:rFonts w:ascii="Times New Roman" w:hAnsi="Times New Roman"/>
                <w:b/>
              </w:rPr>
            </w:pPr>
            <w:r w:rsidRPr="00707403">
              <w:rPr>
                <w:rFonts w:ascii="Times New Roman" w:hAnsi="Times New Roman"/>
                <w:b/>
              </w:rPr>
              <w:t>Обрачун плата и накнада у СКУД „Семберија“ вршити у складу са Законом о платама запосленим у области културе Републике Српске и Посебним колективним уговором за запослене у области образовања и културе Републике Српске.</w:t>
            </w:r>
          </w:p>
        </w:tc>
        <w:tc>
          <w:tcPr>
            <w:tcW w:w="1417" w:type="dxa"/>
            <w:shd w:val="clear" w:color="auto" w:fill="auto"/>
            <w:vAlign w:val="center"/>
          </w:tcPr>
          <w:p w:rsidR="009F1766" w:rsidRPr="00707403" w:rsidRDefault="009F1766" w:rsidP="00385BB8">
            <w:pPr>
              <w:spacing w:after="0" w:line="240" w:lineRule="auto"/>
              <w:jc w:val="center"/>
              <w:rPr>
                <w:rFonts w:ascii="Times New Roman" w:hAnsi="Times New Roman"/>
                <w:b/>
              </w:rPr>
            </w:pPr>
            <w:r>
              <w:rPr>
                <w:rFonts w:ascii="Times New Roman" w:hAnsi="Times New Roman"/>
                <w:b/>
              </w:rPr>
              <w:t xml:space="preserve">СКУД </w:t>
            </w:r>
            <w:r w:rsidRPr="00707403">
              <w:rPr>
                <w:rFonts w:ascii="Times New Roman" w:hAnsi="Times New Roman"/>
                <w:b/>
              </w:rPr>
              <w:t>„Семберија“</w:t>
            </w:r>
          </w:p>
        </w:tc>
        <w:tc>
          <w:tcPr>
            <w:tcW w:w="1843" w:type="dxa"/>
            <w:shd w:val="clear" w:color="auto" w:fill="auto"/>
            <w:vAlign w:val="center"/>
          </w:tcPr>
          <w:p w:rsidR="009F1766" w:rsidRPr="00707403" w:rsidRDefault="009F1766" w:rsidP="00385BB8">
            <w:pPr>
              <w:spacing w:after="0" w:line="240" w:lineRule="auto"/>
              <w:jc w:val="center"/>
              <w:rPr>
                <w:rFonts w:ascii="Times New Roman" w:hAnsi="Times New Roman"/>
                <w:b/>
              </w:rPr>
            </w:pPr>
            <w:r w:rsidRPr="00707403">
              <w:rPr>
                <w:rFonts w:ascii="Times New Roman" w:hAnsi="Times New Roman"/>
                <w:b/>
              </w:rPr>
              <w:t>31.03.2022. г.</w:t>
            </w:r>
          </w:p>
        </w:tc>
        <w:tc>
          <w:tcPr>
            <w:tcW w:w="4293" w:type="dxa"/>
            <w:shd w:val="clear" w:color="auto" w:fill="auto"/>
            <w:vAlign w:val="center"/>
          </w:tcPr>
          <w:p w:rsidR="00824E8B" w:rsidRPr="00824E8B" w:rsidRDefault="00824E8B" w:rsidP="00824E8B">
            <w:pPr>
              <w:spacing w:after="0"/>
              <w:jc w:val="both"/>
              <w:rPr>
                <w:rFonts w:ascii="Times New Roman" w:hAnsi="Times New Roman"/>
                <w:b/>
                <w:lang/>
              </w:rPr>
            </w:pPr>
            <w:r w:rsidRPr="00824E8B">
              <w:rPr>
                <w:rFonts w:ascii="Times New Roman" w:hAnsi="Times New Roman"/>
                <w:b/>
                <w:lang/>
              </w:rPr>
              <w:t xml:space="preserve">У Обавјештењу о реализацији препоруке из Акционог плана 02-014-1-266/22, број: 91/23, од 27.01.2023.године које је добијено од стране СКУД „Семберија“ Бијељина и које је потписано од стране Директора наведене установе, Бранке Марковић Савчић, наводи се сљедеће: „Препорука број 12 из Акционог плана број 02-014-1-266/22 који је утврдио Град Бијељина, а која се односи на усклађеност обрачуна плата и накнада у ЈУ СКУД „Семберија“ са Законом о платама запосленим у области културе </w:t>
            </w:r>
            <w:r w:rsidRPr="00824E8B">
              <w:rPr>
                <w:rFonts w:ascii="Times New Roman" w:hAnsi="Times New Roman"/>
                <w:b/>
                <w:lang/>
              </w:rPr>
              <w:lastRenderedPageBreak/>
              <w:t>Републике Српске и Посебним колективним уговором за запослене у области образовања и културе Републике Српске, биће реализована до обрачуна плате за март 2023.године.“</w:t>
            </w:r>
          </w:p>
          <w:p w:rsidR="009F1766" w:rsidRPr="00824E8B" w:rsidRDefault="009F1766" w:rsidP="00385BB8">
            <w:pPr>
              <w:spacing w:after="0" w:line="240" w:lineRule="auto"/>
              <w:jc w:val="both"/>
              <w:rPr>
                <w:rFonts w:ascii="Times New Roman" w:hAnsi="Times New Roman"/>
                <w:b/>
                <w:highlight w:val="yellow"/>
              </w:rPr>
            </w:pPr>
          </w:p>
          <w:p w:rsidR="009F1766" w:rsidRPr="00824E8B" w:rsidRDefault="009F1766" w:rsidP="00385BB8">
            <w:pPr>
              <w:spacing w:after="0" w:line="240" w:lineRule="auto"/>
              <w:jc w:val="both"/>
              <w:rPr>
                <w:rFonts w:ascii="Times New Roman" w:hAnsi="Times New Roman"/>
                <w:b/>
                <w:highlight w:val="yellow"/>
              </w:rPr>
            </w:pPr>
          </w:p>
          <w:p w:rsidR="009F1766" w:rsidRPr="00824E8B" w:rsidRDefault="009F1766" w:rsidP="00385BB8">
            <w:pPr>
              <w:spacing w:after="0" w:line="240" w:lineRule="auto"/>
              <w:jc w:val="both"/>
              <w:rPr>
                <w:rFonts w:ascii="Times New Roman" w:hAnsi="Times New Roman"/>
                <w:b/>
                <w:highlight w:val="yellow"/>
              </w:rPr>
            </w:pPr>
          </w:p>
        </w:tc>
      </w:tr>
      <w:tr w:rsidR="009F1766" w:rsidRPr="005114E4" w:rsidTr="00385BB8">
        <w:tc>
          <w:tcPr>
            <w:tcW w:w="421" w:type="dxa"/>
            <w:shd w:val="clear" w:color="auto" w:fill="auto"/>
            <w:vAlign w:val="center"/>
          </w:tcPr>
          <w:p w:rsidR="009F1766" w:rsidRPr="005114E4" w:rsidRDefault="009F1766" w:rsidP="00385BB8">
            <w:pPr>
              <w:spacing w:after="0" w:line="240" w:lineRule="auto"/>
              <w:ind w:left="-90" w:right="-108"/>
              <w:jc w:val="center"/>
              <w:rPr>
                <w:rFonts w:ascii="Times New Roman" w:hAnsi="Times New Roman"/>
              </w:rPr>
            </w:pPr>
            <w:r w:rsidRPr="005114E4">
              <w:rPr>
                <w:rFonts w:ascii="Times New Roman" w:hAnsi="Times New Roman"/>
              </w:rPr>
              <w:lastRenderedPageBreak/>
              <w:t>13.</w:t>
            </w:r>
          </w:p>
        </w:tc>
        <w:tc>
          <w:tcPr>
            <w:tcW w:w="1487"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Препорука број 13.</w:t>
            </w:r>
          </w:p>
        </w:tc>
        <w:tc>
          <w:tcPr>
            <w:tcW w:w="5317" w:type="dxa"/>
            <w:shd w:val="clear" w:color="auto" w:fill="auto"/>
            <w:vAlign w:val="center"/>
          </w:tcPr>
          <w:p w:rsidR="009F1766" w:rsidRPr="005114E4" w:rsidRDefault="009F1766" w:rsidP="00385BB8">
            <w:pPr>
              <w:spacing w:after="0" w:line="240" w:lineRule="auto"/>
              <w:jc w:val="both"/>
              <w:rPr>
                <w:rFonts w:ascii="Times New Roman" w:hAnsi="Times New Roman"/>
              </w:rPr>
            </w:pPr>
            <w:r w:rsidRPr="005114E4">
              <w:rPr>
                <w:rFonts w:ascii="Times New Roman" w:hAnsi="Times New Roman"/>
              </w:rPr>
              <w:t>Годишње финансијске извјештаје састављати у законски предвиђеном року у складу са чланом 54. Закона о буџетском систему РС.</w:t>
            </w:r>
          </w:p>
        </w:tc>
        <w:tc>
          <w:tcPr>
            <w:tcW w:w="1417" w:type="dxa"/>
            <w:shd w:val="clear" w:color="auto" w:fill="auto"/>
            <w:vAlign w:val="center"/>
          </w:tcPr>
          <w:p w:rsidR="009F1766" w:rsidRPr="005114E4" w:rsidRDefault="009F1766" w:rsidP="00385BB8">
            <w:pPr>
              <w:spacing w:after="0" w:line="240" w:lineRule="auto"/>
              <w:ind w:right="-34"/>
              <w:jc w:val="center"/>
              <w:rPr>
                <w:rFonts w:ascii="Times New Roman" w:hAnsi="Times New Roman"/>
              </w:rPr>
            </w:pPr>
            <w:r w:rsidRPr="005114E4">
              <w:rPr>
                <w:rFonts w:ascii="Times New Roman" w:hAnsi="Times New Roman"/>
              </w:rPr>
              <w:t>Раз</w:t>
            </w:r>
            <w:r>
              <w:rPr>
                <w:rFonts w:ascii="Times New Roman" w:hAnsi="Times New Roman"/>
              </w:rPr>
              <w:t xml:space="preserve">војна агенција и ЈУ </w:t>
            </w:r>
            <w:r w:rsidRPr="005114E4">
              <w:rPr>
                <w:rFonts w:ascii="Times New Roman" w:hAnsi="Times New Roman"/>
              </w:rPr>
              <w:t>(Народна библиотека, ПиМ школа,</w:t>
            </w:r>
          </w:p>
          <w:p w:rsidR="009F1766" w:rsidRPr="005114E4" w:rsidRDefault="009F1766" w:rsidP="00385BB8">
            <w:pPr>
              <w:spacing w:after="0" w:line="240" w:lineRule="auto"/>
              <w:ind w:left="-115" w:right="-34"/>
              <w:jc w:val="center"/>
              <w:rPr>
                <w:rFonts w:ascii="Times New Roman" w:hAnsi="Times New Roman"/>
              </w:rPr>
            </w:pPr>
            <w:r>
              <w:rPr>
                <w:rFonts w:ascii="Times New Roman" w:hAnsi="Times New Roman"/>
              </w:rPr>
              <w:t>Средња стручна</w:t>
            </w:r>
            <w:r w:rsidRPr="005114E4">
              <w:rPr>
                <w:rFonts w:ascii="Times New Roman" w:hAnsi="Times New Roman"/>
              </w:rPr>
              <w:t xml:space="preserve"> школа, Туристичка организација и Центар за социјални</w:t>
            </w:r>
            <w:r>
              <w:rPr>
                <w:rFonts w:ascii="Times New Roman" w:hAnsi="Times New Roman"/>
              </w:rPr>
              <w:t xml:space="preserve"> </w:t>
            </w:r>
            <w:r w:rsidRPr="005114E4">
              <w:rPr>
                <w:rFonts w:ascii="Times New Roman" w:hAnsi="Times New Roman"/>
              </w:rPr>
              <w:t>рад)</w:t>
            </w:r>
          </w:p>
        </w:tc>
        <w:tc>
          <w:tcPr>
            <w:tcW w:w="1843" w:type="dxa"/>
            <w:shd w:val="clear" w:color="auto" w:fill="auto"/>
            <w:vAlign w:val="center"/>
          </w:tcPr>
          <w:p w:rsidR="009F1766" w:rsidRPr="005114E4" w:rsidRDefault="009F1766" w:rsidP="00385BB8">
            <w:pPr>
              <w:spacing w:after="0" w:line="240" w:lineRule="auto"/>
              <w:jc w:val="center"/>
              <w:rPr>
                <w:rFonts w:ascii="Times New Roman" w:hAnsi="Times New Roman"/>
              </w:rPr>
            </w:pPr>
            <w:r w:rsidRPr="005114E4">
              <w:rPr>
                <w:rFonts w:ascii="Times New Roman" w:hAnsi="Times New Roman"/>
              </w:rPr>
              <w:t xml:space="preserve">у року за израду ФИ за 2021. г. и сваке године  </w:t>
            </w:r>
          </w:p>
        </w:tc>
        <w:tc>
          <w:tcPr>
            <w:tcW w:w="4293" w:type="dxa"/>
            <w:shd w:val="clear" w:color="auto" w:fill="auto"/>
            <w:vAlign w:val="center"/>
          </w:tcPr>
          <w:p w:rsidR="009F1766" w:rsidRPr="003E49C6" w:rsidRDefault="009F1766" w:rsidP="00385BB8">
            <w:pPr>
              <w:spacing w:after="0" w:line="240" w:lineRule="auto"/>
              <w:jc w:val="both"/>
              <w:rPr>
                <w:rFonts w:ascii="Times New Roman" w:hAnsi="Times New Roman"/>
              </w:rPr>
            </w:pPr>
            <w:r w:rsidRPr="003E49C6">
              <w:rPr>
                <w:rFonts w:ascii="Times New Roman" w:hAnsi="Times New Roman"/>
              </w:rPr>
              <w:t xml:space="preserve">Препорука је реализована за 2021. </w:t>
            </w:r>
            <w:proofErr w:type="gramStart"/>
            <w:r w:rsidRPr="003E49C6">
              <w:rPr>
                <w:rFonts w:ascii="Times New Roman" w:hAnsi="Times New Roman"/>
              </w:rPr>
              <w:t>годину</w:t>
            </w:r>
            <w:proofErr w:type="gramEnd"/>
            <w:r w:rsidRPr="003E49C6">
              <w:rPr>
                <w:rFonts w:ascii="Times New Roman" w:hAnsi="Times New Roman"/>
              </w:rPr>
              <w:t xml:space="preserve">. Након усаглашавања </w:t>
            </w:r>
            <w:proofErr w:type="gramStart"/>
            <w:r w:rsidRPr="003E49C6">
              <w:rPr>
                <w:rFonts w:ascii="Times New Roman" w:hAnsi="Times New Roman"/>
              </w:rPr>
              <w:t>свих  билансних</w:t>
            </w:r>
            <w:proofErr w:type="gramEnd"/>
            <w:r w:rsidRPr="003E49C6">
              <w:rPr>
                <w:rFonts w:ascii="Times New Roman" w:hAnsi="Times New Roman"/>
              </w:rPr>
              <w:t xml:space="preserve"> позиција са стањем на дан 31.12.2021. г. </w:t>
            </w:r>
            <w:proofErr w:type="gramStart"/>
            <w:r w:rsidRPr="003E49C6">
              <w:rPr>
                <w:rFonts w:ascii="Times New Roman" w:hAnsi="Times New Roman"/>
              </w:rPr>
              <w:t>и  дистрибуције</w:t>
            </w:r>
            <w:proofErr w:type="gramEnd"/>
            <w:r w:rsidRPr="003E49C6">
              <w:rPr>
                <w:rFonts w:ascii="Times New Roman" w:hAnsi="Times New Roman"/>
              </w:rPr>
              <w:t xml:space="preserve"> генерисаних извјештаја из ГКТ за све буџетске кориснике Града од стране Одјељења за финансије, сачињени су појединачни Годишњи финансијски извјештаји за 2021. </w:t>
            </w:r>
            <w:proofErr w:type="gramStart"/>
            <w:r w:rsidRPr="003E49C6">
              <w:rPr>
                <w:rFonts w:ascii="Times New Roman" w:hAnsi="Times New Roman"/>
              </w:rPr>
              <w:t>годину</w:t>
            </w:r>
            <w:proofErr w:type="gramEnd"/>
            <w:r w:rsidRPr="003E49C6">
              <w:rPr>
                <w:rFonts w:ascii="Times New Roman" w:hAnsi="Times New Roman"/>
              </w:rPr>
              <w:t xml:space="preserve">, укључујући Ноте. Након усвајања од стране надлежног органа управљања буџетских корисника (управног односно школског одбора) исти су достављени Одјељењу за фиансије Града Бијељина до 28.02.2022. </w:t>
            </w:r>
            <w:proofErr w:type="gramStart"/>
            <w:r w:rsidRPr="003E49C6">
              <w:rPr>
                <w:rFonts w:ascii="Times New Roman" w:hAnsi="Times New Roman"/>
              </w:rPr>
              <w:t>године</w:t>
            </w:r>
            <w:proofErr w:type="gramEnd"/>
            <w:r w:rsidRPr="003E49C6">
              <w:rPr>
                <w:rFonts w:ascii="Times New Roman" w:hAnsi="Times New Roman"/>
              </w:rPr>
              <w:t>.</w:t>
            </w:r>
          </w:p>
        </w:tc>
      </w:tr>
    </w:tbl>
    <w:p w:rsidR="009F1766" w:rsidRDefault="009F1766" w:rsidP="009F1766">
      <w:pPr>
        <w:rPr>
          <w:rFonts w:ascii="Times New Roman" w:hAnsi="Times New Roman"/>
        </w:rPr>
        <w:sectPr w:rsidR="009F1766" w:rsidSect="006E0497">
          <w:pgSz w:w="15840" w:h="12240" w:orient="landscape"/>
          <w:pgMar w:top="567" w:right="1418" w:bottom="567" w:left="1418" w:header="709" w:footer="397" w:gutter="0"/>
          <w:cols w:space="708"/>
          <w:docGrid w:linePitch="360"/>
        </w:sectPr>
      </w:pPr>
    </w:p>
    <w:p w:rsidR="009F1766" w:rsidRDefault="003E49C6" w:rsidP="009F1766">
      <w:pPr>
        <w:pStyle w:val="Heading1"/>
        <w:rPr>
          <w:rFonts w:ascii="Times New Roman" w:hAnsi="Times New Roman"/>
          <w:color w:val="auto"/>
          <w:sz w:val="22"/>
          <w:szCs w:val="22"/>
        </w:rPr>
      </w:pPr>
      <w:r>
        <w:rPr>
          <w:rFonts w:ascii="Times New Roman" w:hAnsi="Times New Roman"/>
          <w:color w:val="auto"/>
          <w:sz w:val="22"/>
          <w:szCs w:val="22"/>
        </w:rPr>
        <w:lastRenderedPageBreak/>
        <w:t>IV</w:t>
      </w:r>
      <w:r w:rsidR="009F1766" w:rsidRPr="00C21B58">
        <w:rPr>
          <w:rFonts w:ascii="Times New Roman" w:hAnsi="Times New Roman"/>
          <w:color w:val="auto"/>
          <w:sz w:val="22"/>
          <w:szCs w:val="22"/>
        </w:rPr>
        <w:t xml:space="preserve"> </w:t>
      </w:r>
      <w:r w:rsidR="009F1766">
        <w:rPr>
          <w:rFonts w:ascii="Times New Roman" w:hAnsi="Times New Roman"/>
          <w:color w:val="auto"/>
          <w:sz w:val="22"/>
          <w:szCs w:val="22"/>
        </w:rPr>
        <w:t>–</w:t>
      </w:r>
      <w:r w:rsidR="009F1766" w:rsidRPr="00C21B58">
        <w:rPr>
          <w:rFonts w:ascii="Times New Roman" w:hAnsi="Times New Roman"/>
          <w:color w:val="auto"/>
          <w:sz w:val="22"/>
          <w:szCs w:val="22"/>
        </w:rPr>
        <w:t xml:space="preserve"> </w:t>
      </w:r>
      <w:r w:rsidR="009F1766">
        <w:rPr>
          <w:rFonts w:ascii="Times New Roman" w:hAnsi="Times New Roman"/>
          <w:color w:val="auto"/>
          <w:sz w:val="22"/>
          <w:szCs w:val="22"/>
        </w:rPr>
        <w:t>ЗАКЉУЧНА РАЗМАТРАЊА</w:t>
      </w:r>
    </w:p>
    <w:p w:rsidR="009F1766" w:rsidRPr="00B36C1C" w:rsidRDefault="009F1766" w:rsidP="009F1766"/>
    <w:p w:rsidR="009F1766" w:rsidRDefault="009F1766" w:rsidP="009F1766">
      <w:pPr>
        <w:spacing w:after="0"/>
        <w:jc w:val="both"/>
        <w:rPr>
          <w:rFonts w:ascii="Times New Roman" w:hAnsi="Times New Roman"/>
          <w:sz w:val="24"/>
          <w:szCs w:val="24"/>
        </w:rPr>
      </w:pPr>
      <w:r w:rsidRPr="00C21B58">
        <w:rPr>
          <w:rFonts w:ascii="Times New Roman" w:hAnsi="Times New Roman"/>
          <w:sz w:val="24"/>
          <w:szCs w:val="24"/>
        </w:rPr>
        <w:t xml:space="preserve">Провјеру реализације препорука врши </w:t>
      </w:r>
      <w:r w:rsidRPr="00C21B58">
        <w:rPr>
          <w:rFonts w:ascii="Times New Roman" w:hAnsi="Times New Roman"/>
          <w:sz w:val="24"/>
          <w:szCs w:val="24"/>
          <w:lang w:val="sr-Cyrl-BA"/>
        </w:rPr>
        <w:t xml:space="preserve">Главна служба за ревизију јавног сектора РС, у складу са Законом </w:t>
      </w:r>
      <w:r w:rsidRPr="00C21B58">
        <w:rPr>
          <w:rFonts w:ascii="Times New Roman" w:hAnsi="Times New Roman"/>
          <w:sz w:val="24"/>
          <w:szCs w:val="24"/>
        </w:rPr>
        <w:t xml:space="preserve">о ревизији јавног сектора Републике </w:t>
      </w:r>
      <w:proofErr w:type="gramStart"/>
      <w:r w:rsidRPr="00C21B58">
        <w:rPr>
          <w:rFonts w:ascii="Times New Roman" w:hAnsi="Times New Roman"/>
          <w:sz w:val="24"/>
          <w:szCs w:val="24"/>
        </w:rPr>
        <w:t>Српске  (</w:t>
      </w:r>
      <w:proofErr w:type="gramEnd"/>
      <w:r w:rsidRPr="00C21B58">
        <w:rPr>
          <w:rFonts w:ascii="Times New Roman" w:hAnsi="Times New Roman"/>
          <w:sz w:val="24"/>
          <w:szCs w:val="24"/>
        </w:rPr>
        <w:t>„Службени гласник Републике Српске“, број 98/05 и 20/14)</w:t>
      </w:r>
      <w:r w:rsidRPr="00C21B58">
        <w:rPr>
          <w:rFonts w:ascii="Times New Roman" w:hAnsi="Times New Roman"/>
          <w:sz w:val="24"/>
          <w:szCs w:val="24"/>
          <w:lang w:val="sr-Cyrl-BA"/>
        </w:rPr>
        <w:t xml:space="preserve"> </w:t>
      </w:r>
      <w:r w:rsidRPr="00C21B58">
        <w:rPr>
          <w:rFonts w:ascii="Times New Roman" w:hAnsi="Times New Roman"/>
          <w:sz w:val="24"/>
          <w:szCs w:val="24"/>
        </w:rPr>
        <w:t>.</w:t>
      </w:r>
    </w:p>
    <w:p w:rsidR="009F1766" w:rsidRPr="00D47949" w:rsidRDefault="009F1766" w:rsidP="009F1766">
      <w:pPr>
        <w:spacing w:before="120" w:after="0"/>
        <w:jc w:val="both"/>
        <w:rPr>
          <w:rFonts w:ascii="Times New Roman" w:hAnsi="Times New Roman"/>
          <w:sz w:val="24"/>
          <w:szCs w:val="24"/>
        </w:rPr>
      </w:pPr>
      <w:r>
        <w:rPr>
          <w:rFonts w:ascii="Times New Roman" w:hAnsi="Times New Roman"/>
          <w:sz w:val="24"/>
          <w:szCs w:val="24"/>
        </w:rPr>
        <w:t>Као што је већ наведено у уводном дјелу ове Информације највећи број препорука је до сада реализован, осим двије које су везане за Аграрни фонд и СКУД "Семберија".</w:t>
      </w:r>
    </w:p>
    <w:p w:rsidR="009F1766" w:rsidRPr="00B36C1C" w:rsidRDefault="009F1766" w:rsidP="009F1766">
      <w:pPr>
        <w:spacing w:before="120" w:after="120"/>
        <w:jc w:val="both"/>
        <w:rPr>
          <w:rFonts w:ascii="Times New Roman" w:hAnsi="Times New Roman"/>
          <w:sz w:val="24"/>
          <w:szCs w:val="24"/>
        </w:rPr>
      </w:pPr>
      <w:r>
        <w:rPr>
          <w:rFonts w:ascii="Times New Roman" w:hAnsi="Times New Roman"/>
          <w:sz w:val="24"/>
          <w:szCs w:val="24"/>
        </w:rPr>
        <w:t>Потребно је у што краћем року реализовати све препоруке у потпуности.</w:t>
      </w:r>
    </w:p>
    <w:p w:rsidR="009F1766" w:rsidRPr="00C21B58" w:rsidRDefault="009F1766" w:rsidP="009F1766">
      <w:pPr>
        <w:rPr>
          <w:rFonts w:ascii="Times New Roman" w:hAnsi="Times New Roman"/>
          <w:sz w:val="24"/>
          <w:szCs w:val="24"/>
        </w:rPr>
      </w:pPr>
    </w:p>
    <w:p w:rsidR="009F1766" w:rsidRPr="00C21B58" w:rsidRDefault="009F1766" w:rsidP="009F1766">
      <w:pPr>
        <w:rPr>
          <w:rFonts w:ascii="Times New Roman" w:hAnsi="Times New Roman"/>
          <w:sz w:val="24"/>
          <w:szCs w:val="24"/>
        </w:rPr>
      </w:pPr>
    </w:p>
    <w:p w:rsidR="009F1766" w:rsidRPr="003D318B" w:rsidRDefault="009F1766" w:rsidP="009F1766">
      <w:pPr>
        <w:rPr>
          <w:rFonts w:ascii="Times New Roman" w:hAnsi="Times New Roman"/>
          <w:sz w:val="24"/>
          <w:szCs w:val="24"/>
        </w:rPr>
      </w:pPr>
      <w:r w:rsidRPr="00C21B58">
        <w:rPr>
          <w:rFonts w:ascii="Times New Roman" w:hAnsi="Times New Roman"/>
          <w:sz w:val="24"/>
          <w:szCs w:val="24"/>
        </w:rPr>
        <w:t>Број:</w:t>
      </w:r>
      <w:r>
        <w:rPr>
          <w:rFonts w:ascii="Times New Roman" w:hAnsi="Times New Roman"/>
          <w:sz w:val="24"/>
          <w:szCs w:val="24"/>
        </w:rPr>
        <w:t xml:space="preserve"> ___________________</w:t>
      </w:r>
    </w:p>
    <w:p w:rsidR="009F1766" w:rsidRPr="00C21B58" w:rsidRDefault="009F1766" w:rsidP="009F1766">
      <w:pPr>
        <w:rPr>
          <w:rFonts w:ascii="Times New Roman" w:hAnsi="Times New Roman"/>
          <w:sz w:val="24"/>
          <w:szCs w:val="24"/>
        </w:rPr>
      </w:pPr>
      <w:r w:rsidRPr="00C21B58">
        <w:rPr>
          <w:rFonts w:ascii="Times New Roman" w:hAnsi="Times New Roman"/>
          <w:sz w:val="24"/>
          <w:szCs w:val="24"/>
        </w:rPr>
        <w:t>Бијељина,</w:t>
      </w:r>
      <w:r w:rsidRPr="00C21B58">
        <w:rPr>
          <w:rFonts w:ascii="Times New Roman" w:hAnsi="Times New Roman"/>
          <w:sz w:val="24"/>
          <w:szCs w:val="24"/>
        </w:rPr>
        <w:tab/>
      </w:r>
      <w:r w:rsidRPr="00C21B58">
        <w:rPr>
          <w:rFonts w:ascii="Times New Roman" w:hAnsi="Times New Roman"/>
          <w:sz w:val="24"/>
          <w:szCs w:val="24"/>
        </w:rPr>
        <w:tab/>
      </w:r>
      <w:r w:rsidRPr="00C21B58">
        <w:rPr>
          <w:rFonts w:ascii="Times New Roman" w:hAnsi="Times New Roman"/>
          <w:sz w:val="24"/>
          <w:szCs w:val="24"/>
        </w:rPr>
        <w:tab/>
      </w:r>
      <w:r w:rsidRPr="00C21B58">
        <w:rPr>
          <w:rFonts w:ascii="Times New Roman" w:hAnsi="Times New Roman"/>
          <w:sz w:val="24"/>
          <w:szCs w:val="24"/>
        </w:rPr>
        <w:tab/>
      </w:r>
      <w:r w:rsidRPr="00C21B58">
        <w:rPr>
          <w:rFonts w:ascii="Times New Roman" w:hAnsi="Times New Roman"/>
          <w:sz w:val="24"/>
          <w:szCs w:val="24"/>
        </w:rPr>
        <w:tab/>
      </w:r>
      <w:r w:rsidRPr="00C21B58">
        <w:rPr>
          <w:rFonts w:ascii="Times New Roman" w:hAnsi="Times New Roman"/>
          <w:sz w:val="24"/>
          <w:szCs w:val="24"/>
        </w:rPr>
        <w:tab/>
      </w:r>
      <w:r w:rsidRPr="00C21B58">
        <w:rPr>
          <w:rFonts w:ascii="Times New Roman" w:hAnsi="Times New Roman"/>
          <w:sz w:val="24"/>
          <w:szCs w:val="24"/>
        </w:rPr>
        <w:tab/>
      </w:r>
      <w:r w:rsidRPr="00C21B58">
        <w:rPr>
          <w:rFonts w:ascii="Times New Roman" w:hAnsi="Times New Roman"/>
          <w:sz w:val="24"/>
          <w:szCs w:val="24"/>
        </w:rPr>
        <w:tab/>
        <w:t>ГРАДОНАЧЕЛНИК</w:t>
      </w:r>
    </w:p>
    <w:p w:rsidR="009F1766" w:rsidRPr="00C21B58" w:rsidRDefault="009F1766" w:rsidP="009F1766">
      <w:pPr>
        <w:rPr>
          <w:rFonts w:ascii="Times New Roman" w:hAnsi="Times New Roman"/>
          <w:sz w:val="24"/>
          <w:szCs w:val="24"/>
        </w:rPr>
      </w:pPr>
      <w:r w:rsidRPr="00C21B58">
        <w:rPr>
          <w:rFonts w:ascii="Times New Roman" w:hAnsi="Times New Roman"/>
          <w:sz w:val="24"/>
          <w:szCs w:val="24"/>
        </w:rPr>
        <w:t xml:space="preserve">Датум: </w:t>
      </w:r>
      <w:r>
        <w:rPr>
          <w:rFonts w:ascii="Times New Roman" w:hAnsi="Times New Roman"/>
          <w:sz w:val="24"/>
          <w:szCs w:val="24"/>
        </w:rPr>
        <w:t>_______</w:t>
      </w:r>
      <w:r w:rsidRPr="00C21B58">
        <w:rPr>
          <w:rFonts w:ascii="Times New Roman" w:hAnsi="Times New Roman"/>
          <w:sz w:val="24"/>
          <w:szCs w:val="24"/>
        </w:rPr>
        <w:t>202</w:t>
      </w:r>
      <w:r>
        <w:rPr>
          <w:rFonts w:ascii="Times New Roman" w:hAnsi="Times New Roman"/>
          <w:sz w:val="24"/>
          <w:szCs w:val="24"/>
        </w:rPr>
        <w:t>3</w:t>
      </w:r>
      <w:r w:rsidRPr="00C21B58">
        <w:rPr>
          <w:rFonts w:ascii="Times New Roman" w:hAnsi="Times New Roman"/>
          <w:sz w:val="24"/>
          <w:szCs w:val="24"/>
        </w:rPr>
        <w:t>.</w:t>
      </w:r>
      <w:r>
        <w:rPr>
          <w:rFonts w:ascii="Times New Roman" w:hAnsi="Times New Roman"/>
          <w:sz w:val="24"/>
          <w:szCs w:val="24"/>
        </w:rPr>
        <w:t xml:space="preserve"> године</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C21B58">
        <w:rPr>
          <w:rFonts w:ascii="Times New Roman" w:hAnsi="Times New Roman"/>
          <w:sz w:val="24"/>
          <w:szCs w:val="24"/>
        </w:rPr>
        <w:t xml:space="preserve"> </w:t>
      </w:r>
      <w:r>
        <w:rPr>
          <w:rFonts w:ascii="Times New Roman" w:hAnsi="Times New Roman"/>
          <w:sz w:val="24"/>
          <w:szCs w:val="24"/>
        </w:rPr>
        <w:t xml:space="preserve"> </w:t>
      </w:r>
      <w:r w:rsidRPr="00C21B58">
        <w:rPr>
          <w:rFonts w:ascii="Times New Roman" w:hAnsi="Times New Roman"/>
          <w:sz w:val="24"/>
          <w:szCs w:val="24"/>
        </w:rPr>
        <w:t>Љубиша Петровић</w:t>
      </w:r>
    </w:p>
    <w:p w:rsidR="009F1766" w:rsidRPr="00C21B58" w:rsidRDefault="009F1766" w:rsidP="009F1766">
      <w:pPr>
        <w:rPr>
          <w:rFonts w:ascii="Times New Roman" w:hAnsi="Times New Roman"/>
          <w:sz w:val="24"/>
          <w:szCs w:val="24"/>
        </w:rPr>
      </w:pPr>
    </w:p>
    <w:p w:rsidR="00F50329" w:rsidRDefault="00F50329" w:rsidP="00F50329">
      <w:pPr>
        <w:jc w:val="both"/>
        <w:rPr>
          <w:rFonts w:ascii="Times New Roman" w:hAnsi="Times New Roman"/>
          <w:sz w:val="24"/>
          <w:szCs w:val="24"/>
          <w:lang/>
        </w:rPr>
      </w:pPr>
    </w:p>
    <w:p w:rsidR="00F50329" w:rsidRDefault="00F50329" w:rsidP="00F50329">
      <w:pPr>
        <w:jc w:val="both"/>
        <w:rPr>
          <w:rFonts w:ascii="Times New Roman" w:hAnsi="Times New Roman"/>
          <w:sz w:val="24"/>
          <w:szCs w:val="24"/>
          <w:lang/>
        </w:rPr>
      </w:pPr>
    </w:p>
    <w:p w:rsidR="00F50329" w:rsidRDefault="00F50329" w:rsidP="00F50329">
      <w:pPr>
        <w:jc w:val="both"/>
        <w:rPr>
          <w:rFonts w:ascii="Times New Roman" w:hAnsi="Times New Roman"/>
          <w:sz w:val="24"/>
          <w:szCs w:val="24"/>
          <w:lang/>
        </w:rPr>
      </w:pPr>
    </w:p>
    <w:p w:rsidR="00F50329" w:rsidRDefault="00F50329" w:rsidP="00F50329">
      <w:pPr>
        <w:jc w:val="both"/>
        <w:rPr>
          <w:rFonts w:ascii="Times New Roman" w:hAnsi="Times New Roman"/>
          <w:sz w:val="24"/>
          <w:szCs w:val="24"/>
          <w:lang/>
        </w:rPr>
      </w:pPr>
    </w:p>
    <w:p w:rsidR="00F50329" w:rsidRDefault="00F50329" w:rsidP="00F50329">
      <w:pPr>
        <w:jc w:val="both"/>
        <w:rPr>
          <w:rFonts w:ascii="Times New Roman" w:hAnsi="Times New Roman"/>
          <w:sz w:val="24"/>
          <w:szCs w:val="24"/>
          <w:lang/>
        </w:rPr>
      </w:pPr>
    </w:p>
    <w:p w:rsidR="00F50329" w:rsidRDefault="00F50329" w:rsidP="00F50329">
      <w:pPr>
        <w:jc w:val="both"/>
        <w:rPr>
          <w:rFonts w:ascii="Times New Roman" w:hAnsi="Times New Roman"/>
          <w:sz w:val="24"/>
          <w:szCs w:val="24"/>
          <w:lang/>
        </w:rPr>
      </w:pPr>
    </w:p>
    <w:p w:rsidR="00F50329" w:rsidRDefault="00F50329" w:rsidP="00F50329">
      <w:pPr>
        <w:jc w:val="both"/>
        <w:rPr>
          <w:rFonts w:ascii="Times New Roman" w:hAnsi="Times New Roman"/>
          <w:sz w:val="24"/>
          <w:szCs w:val="24"/>
          <w:lang/>
        </w:rPr>
      </w:pPr>
    </w:p>
    <w:p w:rsidR="005912E0" w:rsidRPr="00F50329" w:rsidRDefault="00F50329" w:rsidP="00F50329">
      <w:pPr>
        <w:jc w:val="both"/>
        <w:rPr>
          <w:rFonts w:ascii="Times New Roman" w:hAnsi="Times New Roman"/>
          <w:sz w:val="24"/>
          <w:szCs w:val="24"/>
          <w:lang/>
        </w:rPr>
      </w:pPr>
      <w:r w:rsidRPr="00F50329">
        <w:rPr>
          <w:rFonts w:ascii="Times New Roman" w:hAnsi="Times New Roman"/>
          <w:sz w:val="24"/>
          <w:szCs w:val="24"/>
          <w:lang/>
        </w:rPr>
        <w:t xml:space="preserve">Градоначелник Града Бијељина је утврдио Приједлог Информације о предузетим мјерама и активностима из Акционог плана за отклањање </w:t>
      </w:r>
      <w:r>
        <w:rPr>
          <w:rFonts w:ascii="Times New Roman" w:hAnsi="Times New Roman"/>
          <w:sz w:val="24"/>
          <w:szCs w:val="24"/>
          <w:lang/>
        </w:rPr>
        <w:t>неправилности и недостатака по И</w:t>
      </w:r>
      <w:r w:rsidRPr="00F50329">
        <w:rPr>
          <w:rFonts w:ascii="Times New Roman" w:hAnsi="Times New Roman"/>
          <w:sz w:val="24"/>
          <w:szCs w:val="24"/>
          <w:lang/>
        </w:rPr>
        <w:t>звјештају Главне службе за ревизију јавног сектора Републике Српске број РВ066-21 од 29.12.2021</w:t>
      </w:r>
      <w:r>
        <w:rPr>
          <w:rFonts w:ascii="Times New Roman" w:hAnsi="Times New Roman"/>
          <w:sz w:val="24"/>
          <w:szCs w:val="24"/>
          <w:lang/>
        </w:rPr>
        <w:t>.године, те га упућује Скупштини Града Бијељина на разматрање.</w:t>
      </w:r>
    </w:p>
    <w:p w:rsidR="00F50329" w:rsidRPr="00F50329" w:rsidRDefault="00F50329">
      <w:pPr>
        <w:jc w:val="both"/>
        <w:rPr>
          <w:rFonts w:ascii="Times New Roman" w:hAnsi="Times New Roman"/>
          <w:sz w:val="24"/>
          <w:szCs w:val="24"/>
          <w:lang/>
        </w:rPr>
      </w:pPr>
    </w:p>
    <w:sectPr w:rsidR="00F50329" w:rsidRPr="00F50329" w:rsidSect="006E0497">
      <w:pgSz w:w="12240" w:h="15840"/>
      <w:pgMar w:top="1418" w:right="1418" w:bottom="1418" w:left="1418" w:header="709"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F32" w:rsidRDefault="00E45F32" w:rsidP="00A22FD2">
      <w:pPr>
        <w:spacing w:after="0" w:line="240" w:lineRule="auto"/>
      </w:pPr>
      <w:r>
        <w:separator/>
      </w:r>
    </w:p>
  </w:endnote>
  <w:endnote w:type="continuationSeparator" w:id="0">
    <w:p w:rsidR="00E45F32" w:rsidRDefault="00E45F32" w:rsidP="00A22F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497" w:rsidRDefault="00E45F3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497" w:rsidRDefault="00A22FD2">
    <w:pPr>
      <w:pStyle w:val="Footer"/>
      <w:jc w:val="right"/>
    </w:pPr>
    <w:r>
      <w:fldChar w:fldCharType="begin"/>
    </w:r>
    <w:r w:rsidR="009F1766">
      <w:instrText xml:space="preserve"> PAGE   \* MERGEFORMAT </w:instrText>
    </w:r>
    <w:r>
      <w:fldChar w:fldCharType="separate"/>
    </w:r>
    <w:r w:rsidR="00D13F25">
      <w:rPr>
        <w:noProof/>
      </w:rPr>
      <w:t>3</w:t>
    </w:r>
    <w:r>
      <w:rPr>
        <w:noProof/>
      </w:rPr>
      <w:fldChar w:fldCharType="end"/>
    </w:r>
  </w:p>
  <w:p w:rsidR="006E0497" w:rsidRPr="00876A9D" w:rsidRDefault="00E45F3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497" w:rsidRDefault="00E45F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F32" w:rsidRDefault="00E45F32" w:rsidP="00A22FD2">
      <w:pPr>
        <w:spacing w:after="0" w:line="240" w:lineRule="auto"/>
      </w:pPr>
      <w:r>
        <w:separator/>
      </w:r>
    </w:p>
  </w:footnote>
  <w:footnote w:type="continuationSeparator" w:id="0">
    <w:p w:rsidR="00E45F32" w:rsidRDefault="00E45F32" w:rsidP="00A22F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497" w:rsidRDefault="00E45F3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497" w:rsidRDefault="00E45F3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497" w:rsidRDefault="00E45F3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footnotePr>
    <w:footnote w:id="-1"/>
    <w:footnote w:id="0"/>
  </w:footnotePr>
  <w:endnotePr>
    <w:endnote w:id="-1"/>
    <w:endnote w:id="0"/>
  </w:endnotePr>
  <w:compat/>
  <w:rsids>
    <w:rsidRoot w:val="009F1766"/>
    <w:rsid w:val="000B6749"/>
    <w:rsid w:val="003E49C6"/>
    <w:rsid w:val="005912E0"/>
    <w:rsid w:val="00645B3D"/>
    <w:rsid w:val="007612E1"/>
    <w:rsid w:val="00824E8B"/>
    <w:rsid w:val="009F1766"/>
    <w:rsid w:val="00A22FD2"/>
    <w:rsid w:val="00AB4105"/>
    <w:rsid w:val="00D13F25"/>
    <w:rsid w:val="00E45F32"/>
    <w:rsid w:val="00F503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766"/>
    <w:rPr>
      <w:rFonts w:ascii="Calibri" w:eastAsia="Times New Roman" w:hAnsi="Calibri" w:cs="Times New Roman"/>
    </w:rPr>
  </w:style>
  <w:style w:type="paragraph" w:styleId="Heading1">
    <w:name w:val="heading 1"/>
    <w:basedOn w:val="Normal"/>
    <w:next w:val="Normal"/>
    <w:link w:val="Heading1Char"/>
    <w:uiPriority w:val="9"/>
    <w:qFormat/>
    <w:rsid w:val="009F1766"/>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1766"/>
    <w:rPr>
      <w:rFonts w:ascii="Cambria" w:eastAsia="Times New Roman" w:hAnsi="Cambria" w:cs="Times New Roman"/>
      <w:b/>
      <w:bCs/>
      <w:color w:val="365F91"/>
      <w:sz w:val="28"/>
      <w:szCs w:val="28"/>
    </w:rPr>
  </w:style>
  <w:style w:type="character" w:styleId="Hyperlink">
    <w:name w:val="Hyperlink"/>
    <w:uiPriority w:val="99"/>
    <w:unhideWhenUsed/>
    <w:rsid w:val="009F1766"/>
    <w:rPr>
      <w:color w:val="0000FF"/>
      <w:u w:val="single"/>
    </w:rPr>
  </w:style>
  <w:style w:type="paragraph" w:styleId="Footer">
    <w:name w:val="footer"/>
    <w:basedOn w:val="Normal"/>
    <w:link w:val="FooterChar"/>
    <w:uiPriority w:val="99"/>
    <w:unhideWhenUsed/>
    <w:rsid w:val="009F1766"/>
    <w:pPr>
      <w:tabs>
        <w:tab w:val="center" w:pos="4703"/>
        <w:tab w:val="right" w:pos="9406"/>
      </w:tabs>
      <w:spacing w:after="0" w:line="240" w:lineRule="auto"/>
    </w:pPr>
    <w:rPr>
      <w:sz w:val="20"/>
      <w:szCs w:val="20"/>
    </w:rPr>
  </w:style>
  <w:style w:type="character" w:customStyle="1" w:styleId="FooterChar">
    <w:name w:val="Footer Char"/>
    <w:basedOn w:val="DefaultParagraphFont"/>
    <w:link w:val="Footer"/>
    <w:uiPriority w:val="99"/>
    <w:rsid w:val="009F1766"/>
    <w:rPr>
      <w:rFonts w:ascii="Calibri" w:eastAsia="Times New Roman" w:hAnsi="Calibri" w:cs="Times New Roman"/>
      <w:sz w:val="20"/>
      <w:szCs w:val="20"/>
    </w:rPr>
  </w:style>
  <w:style w:type="paragraph" w:styleId="Header">
    <w:name w:val="header"/>
    <w:basedOn w:val="Normal"/>
    <w:link w:val="HeaderChar"/>
    <w:uiPriority w:val="99"/>
    <w:unhideWhenUsed/>
    <w:rsid w:val="009F1766"/>
    <w:pPr>
      <w:tabs>
        <w:tab w:val="center" w:pos="4703"/>
        <w:tab w:val="right" w:pos="9406"/>
      </w:tabs>
      <w:spacing w:after="0" w:line="240" w:lineRule="auto"/>
    </w:pPr>
    <w:rPr>
      <w:sz w:val="20"/>
      <w:szCs w:val="20"/>
    </w:rPr>
  </w:style>
  <w:style w:type="character" w:customStyle="1" w:styleId="HeaderChar">
    <w:name w:val="Header Char"/>
    <w:basedOn w:val="DefaultParagraphFont"/>
    <w:link w:val="Header"/>
    <w:uiPriority w:val="99"/>
    <w:rsid w:val="009F1766"/>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9F17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176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gradbijeljina.org"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13</Pages>
  <Words>3552</Words>
  <Characters>20251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amihajlovic</dc:creator>
  <cp:keywords/>
  <dc:description/>
  <cp:lastModifiedBy>amihajlovic</cp:lastModifiedBy>
  <cp:revision>5</cp:revision>
  <dcterms:created xsi:type="dcterms:W3CDTF">2023-02-01T07:59:00Z</dcterms:created>
  <dcterms:modified xsi:type="dcterms:W3CDTF">2023-02-01T13:07:00Z</dcterms:modified>
</cp:coreProperties>
</file>