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B64F84" w:rsidRDefault="00B41E19" w:rsidP="00B41E19">
      <w:pPr>
        <w:pStyle w:val="BodyText"/>
        <w:ind w:left="470" w:right="38"/>
        <w:jc w:val="both"/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36/19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 w:rsidR="00333A35">
        <w:rPr>
          <w:rFonts w:ascii="Times New Roman" w:hAnsi="Times New Roman" w:cs="Times New Roman"/>
          <w:sz w:val="24"/>
          <w:szCs w:val="24"/>
        </w:rPr>
        <w:t xml:space="preserve">и прибављене Сагласности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5F22D7">
        <w:rPr>
          <w:rFonts w:ascii="Times New Roman" w:hAnsi="Times New Roman" w:cs="Times New Roman"/>
          <w:sz w:val="24"/>
          <w:szCs w:val="24"/>
        </w:rPr>
        <w:t>a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333A35">
        <w:rPr>
          <w:rFonts w:ascii="Times New Roman" w:hAnsi="Times New Roman" w:cs="Times New Roman"/>
          <w:sz w:val="24"/>
          <w:szCs w:val="24"/>
        </w:rPr>
        <w:t xml:space="preserve">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 w:rsidR="000859C6">
        <w:rPr>
          <w:rFonts w:ascii="Times New Roman" w:hAnsi="Times New Roman" w:cs="Times New Roman"/>
          <w:sz w:val="24"/>
          <w:szCs w:val="24"/>
        </w:rPr>
        <w:t>500-1161-1/23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0859C6">
        <w:rPr>
          <w:rFonts w:ascii="Times New Roman" w:hAnsi="Times New Roman" w:cs="Times New Roman"/>
          <w:sz w:val="24"/>
          <w:szCs w:val="24"/>
        </w:rPr>
        <w:t>22.02.2023.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2558A">
        <w:rPr>
          <w:rFonts w:ascii="Times New Roman" w:hAnsi="Times New Roman" w:cs="Times New Roman"/>
          <w:sz w:val="24"/>
          <w:szCs w:val="24"/>
        </w:rPr>
        <w:t>3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 w:rsidR="009826E6"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FD0AA9" w:rsidRP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517D9">
        <w:rPr>
          <w:rFonts w:ascii="Times New Roman" w:hAnsi="Times New Roman" w:cs="Times New Roman"/>
          <w:sz w:val="24"/>
          <w:szCs w:val="24"/>
        </w:rPr>
        <w:t>зараз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9826E6">
        <w:rPr>
          <w:rFonts w:ascii="Times New Roman" w:hAnsi="Times New Roman" w:cs="Times New Roman"/>
          <w:sz w:val="24"/>
          <w:szCs w:val="24"/>
        </w:rPr>
        <w:t>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sz w:val="24"/>
          <w:szCs w:val="24"/>
        </w:rPr>
        <w:t>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826E6">
        <w:rPr>
          <w:rFonts w:ascii="Times New Roman" w:hAnsi="Times New Roman" w:cs="Times New Roman"/>
          <w:sz w:val="24"/>
          <w:szCs w:val="24"/>
        </w:rPr>
        <w:t>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226148">
        <w:rPr>
          <w:rFonts w:ascii="Times New Roman" w:hAnsi="Times New Roman" w:cs="Times New Roman"/>
          <w:spacing w:val="-8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6517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хеморагичне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826E6">
        <w:rPr>
          <w:rFonts w:ascii="Times New Roman" w:hAnsi="Times New Roman" w:cs="Times New Roman"/>
          <w:sz w:val="24"/>
          <w:szCs w:val="24"/>
        </w:rPr>
        <w:t>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sz w:val="24"/>
          <w:szCs w:val="24"/>
        </w:rPr>
        <w:t>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 w:rsidR="009826E6"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 w:rsidR="009826E6"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226148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226148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>њ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226148"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lastRenderedPageBreak/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разм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нај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ва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53F26" w:rsidRDefault="00BA577C" w:rsidP="00F9245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отпад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 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огодног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Гамбусиа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аф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ф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BB031A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BB031A">
      <w:pPr>
        <w:spacing w:before="8" w:line="247" w:lineRule="auto"/>
        <w:ind w:right="90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регу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гранулатора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упут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ств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Сп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w w:val="105"/>
          <w:sz w:val="24"/>
          <w:szCs w:val="24"/>
        </w:rPr>
        <w:t>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зи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однос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BB031A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BB031A" w:rsidRPr="00F542E3" w:rsidRDefault="00BB031A" w:rsidP="00BB031A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садрж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а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стано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311B4" w:rsidRPr="000311B4" w:rsidRDefault="000311B4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0311B4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311B4" w:rsidRPr="00F542E3" w:rsidRDefault="000311B4" w:rsidP="000311B4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311B4">
      <w:pPr>
        <w:tabs>
          <w:tab w:val="left" w:pos="2973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  <w:tab w:val="left" w:pos="1080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311B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кој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12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Регионалног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0311B4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426FC6">
        <w:rPr>
          <w:rFonts w:ascii="Times New Roman" w:hAnsi="Times New Roman" w:cs="Times New Roman"/>
          <w:w w:val="105"/>
          <w:sz w:val="24"/>
          <w:szCs w:val="24"/>
        </w:rPr>
        <w:t>,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  <w:tab w:val="left" w:pos="10800"/>
        </w:tabs>
        <w:spacing w:before="3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426FC6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426FC6" w:rsidP="00426FC6">
      <w:pPr>
        <w:tabs>
          <w:tab w:val="left" w:pos="1405"/>
        </w:tabs>
        <w:spacing w:before="2" w:line="283" w:lineRule="auto"/>
        <w:ind w:left="360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58A" w:rsidRPr="00A2558A" w:rsidRDefault="009826E6" w:rsidP="00A2558A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A2558A" w:rsidRPr="00A2558A" w:rsidRDefault="00A2558A" w:rsidP="00A2558A">
      <w:pPr>
        <w:pStyle w:val="ListParagraph"/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left="1190" w:right="651" w:firstLine="0"/>
        <w:rPr>
          <w:rFonts w:ascii="Times New Roman" w:hAnsi="Times New Roman" w:cs="Times New Roman"/>
          <w:b/>
          <w:sz w:val="24"/>
          <w:szCs w:val="24"/>
        </w:rPr>
      </w:pPr>
    </w:p>
    <w:p w:rsidR="00A2558A" w:rsidRPr="00426FC6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9826E6" w:rsidP="00426FC6">
      <w:pPr>
        <w:spacing w:before="97"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ј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2558A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A2558A" w:rsidRDefault="00A2558A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A97" w:rsidRPr="00A2558A" w:rsidRDefault="009826E6" w:rsidP="00A25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  <w:hideMark/>
          </w:tcPr>
          <w:p w:rsidR="004C17E2" w:rsidRPr="00A906A4" w:rsidRDefault="009826E6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A85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A8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936BFB" w:rsidRDefault="009826E6" w:rsidP="00A906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ЂУРЂЕВИЋ</w:t>
            </w:r>
          </w:p>
          <w:p w:rsidR="004C17E2" w:rsidRPr="00A906A4" w:rsidRDefault="004C17E2" w:rsidP="00A906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Default="009826E6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286C4F" w:rsidRPr="00DF2639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1B6AD0" w:rsidRPr="00DF2639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 w:rsidR="001B6AD0" w:rsidRPr="00141141">
        <w:rPr>
          <w:rFonts w:ascii="Times New Roman" w:hAnsi="Times New Roman"/>
          <w:sz w:val="24"/>
          <w:szCs w:val="24"/>
        </w:rPr>
        <w:t>3.</w:t>
      </w:r>
      <w:r w:rsidR="00426F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Закона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1B6AD0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B6AD0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1B6AD0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A4F86" w:rsidRDefault="009826E6" w:rsidP="000A4F86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1B6AD0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1B6AD0" w:rsidRPr="00A906A4">
        <w:rPr>
          <w:rFonts w:ascii="Times New Roman" w:hAnsi="Times New Roman"/>
          <w:sz w:val="24"/>
          <w:szCs w:val="24"/>
        </w:rPr>
        <w:t>,</w:t>
      </w:r>
      <w:r w:rsidR="00426F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0A4F86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0A4F86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>“.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1B6AD0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426FC6" w:rsidRPr="0061747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B6AD0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115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68"/>
        <w:gridCol w:w="5769"/>
      </w:tblGrid>
      <w:tr w:rsidR="009826E6" w:rsidTr="006517D9">
        <w:trPr>
          <w:trHeight w:val="2450"/>
        </w:trPr>
        <w:tc>
          <w:tcPr>
            <w:tcW w:w="5768" w:type="dxa"/>
            <w:hideMark/>
          </w:tcPr>
          <w:p w:rsidR="009826E6" w:rsidRPr="00C749C2" w:rsidRDefault="009826E6" w:rsidP="00226148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A2558A">
              <w:rPr>
                <w:b/>
                <w:lang w:val="sr-Cyrl-CS"/>
              </w:rPr>
              <w:t xml:space="preserve">Број: </w:t>
            </w:r>
            <w:r w:rsidR="00C749C2">
              <w:rPr>
                <w:b/>
              </w:rPr>
              <w:t>02/19-330-2-112/23</w:t>
            </w:r>
          </w:p>
          <w:p w:rsidR="009826E6" w:rsidRPr="00C749C2" w:rsidRDefault="009826E6" w:rsidP="00426FC6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 w:rsidRPr="00A2558A">
              <w:rPr>
                <w:b/>
                <w:lang w:val="sr-Cyrl-CS"/>
              </w:rPr>
              <w:t xml:space="preserve">Датум: </w:t>
            </w:r>
            <w:r w:rsidR="00C749C2">
              <w:rPr>
                <w:b/>
              </w:rPr>
              <w:t>19.04.2023. године</w:t>
            </w:r>
          </w:p>
        </w:tc>
        <w:tc>
          <w:tcPr>
            <w:tcW w:w="5769" w:type="dxa"/>
          </w:tcPr>
          <w:p w:rsidR="009826E6" w:rsidRDefault="009826E6" w:rsidP="00226148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9826E6" w:rsidRPr="0040145B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40145B">
              <w:rPr>
                <w:lang w:val="sr-Cyrl-CS"/>
              </w:rPr>
              <w:t>ПОЉОПРИВРЕДУ</w:t>
            </w: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9826E6" w:rsidRDefault="009826E6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9826E6" w:rsidRDefault="0040145B" w:rsidP="00226148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9826E6" w:rsidRDefault="009826E6" w:rsidP="00226148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9826E6" w:rsidRPr="00617479" w:rsidRDefault="00617479" w:rsidP="00617479">
      <w:pPr>
        <w:tabs>
          <w:tab w:val="left" w:pos="8610"/>
        </w:tabs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ab/>
      </w:r>
    </w:p>
    <w:p w:rsidR="009826E6" w:rsidRPr="00426FC6" w:rsidRDefault="00617479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6FC6">
        <w:rPr>
          <w:rFonts w:ascii="Times New Roman" w:hAnsi="Times New Roman" w:cs="Times New Roman"/>
          <w:sz w:val="24"/>
          <w:szCs w:val="24"/>
        </w:rPr>
        <w:t>ПРЕДЛАГАЧ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:          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617479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ab/>
      </w:r>
      <w:r w:rsidR="00426FC6">
        <w:rPr>
          <w:rFonts w:ascii="Times New Roman" w:hAnsi="Times New Roman" w:cs="Times New Roman"/>
          <w:sz w:val="24"/>
          <w:szCs w:val="24"/>
        </w:rPr>
        <w:t xml:space="preserve">     </w:t>
      </w:r>
      <w:r w:rsidR="009826E6">
        <w:rPr>
          <w:rFonts w:ascii="Times New Roman" w:hAnsi="Times New Roman" w:cs="Times New Roman"/>
          <w:sz w:val="24"/>
          <w:szCs w:val="24"/>
        </w:rPr>
        <w:t>ГРАДОНАЧЕЛНИК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9826E6" w:rsidRPr="00426FC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="00426FC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6E6" w:rsidRPr="00426FC6" w:rsidRDefault="009826E6" w:rsidP="00426FC6">
      <w:pPr>
        <w:tabs>
          <w:tab w:val="left" w:pos="6315"/>
        </w:tabs>
        <w:jc w:val="right"/>
        <w:rPr>
          <w:rFonts w:ascii="Times New Roman" w:hAnsi="Times New Roman" w:cs="Times New Roman"/>
          <w:lang w:val="sr-Cyrl-CS"/>
        </w:rPr>
      </w:pPr>
      <w:r>
        <w:tab/>
      </w:r>
      <w:r w:rsidRPr="00426FC6">
        <w:rPr>
          <w:rFonts w:ascii="Times New Roman" w:hAnsi="Times New Roman" w:cs="Times New Roman"/>
        </w:rPr>
        <w:t>Љубиша Петровић</w:t>
      </w:r>
      <w:r w:rsidR="00426FC6">
        <w:rPr>
          <w:rFonts w:ascii="Times New Roman" w:hAnsi="Times New Roman" w:cs="Times New Roman"/>
          <w:lang w:val="sr-Cyrl-CS"/>
        </w:rPr>
        <w:tab/>
      </w:r>
      <w:r w:rsidR="00426FC6">
        <w:rPr>
          <w:rFonts w:ascii="Times New Roman" w:hAnsi="Times New Roman" w:cs="Times New Roman"/>
          <w:lang w:val="sr-Cyrl-CS"/>
        </w:rPr>
        <w:tab/>
      </w:r>
    </w:p>
    <w:p w:rsidR="001B6AD0" w:rsidRPr="009826E6" w:rsidRDefault="009826E6" w:rsidP="00426FC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sectPr w:rsidR="001B6AD0" w:rsidRPr="009826E6" w:rsidSect="00617479">
      <w:headerReference w:type="default" r:id="rId9"/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6C5" w:rsidRDefault="007D46C5" w:rsidP="00E70BA8">
      <w:pPr>
        <w:spacing w:after="0" w:line="240" w:lineRule="auto"/>
      </w:pPr>
      <w:r>
        <w:separator/>
      </w:r>
    </w:p>
  </w:endnote>
  <w:endnote w:type="continuationSeparator" w:id="1">
    <w:p w:rsidR="007D46C5" w:rsidRDefault="007D46C5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6C5" w:rsidRDefault="007D46C5" w:rsidP="00E70BA8">
      <w:pPr>
        <w:spacing w:after="0" w:line="240" w:lineRule="auto"/>
      </w:pPr>
      <w:r>
        <w:separator/>
      </w:r>
    </w:p>
  </w:footnote>
  <w:footnote w:type="continuationSeparator" w:id="1">
    <w:p w:rsidR="007D46C5" w:rsidRDefault="007D46C5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226148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6B66A088DDE463BA0A9C5B2EF5A4C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26148" w:rsidRDefault="00226148" w:rsidP="008F795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E01E803842C463F97C4D1BE7D199AC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26148" w:rsidRDefault="00226148" w:rsidP="005420F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2023</w:t>
              </w:r>
            </w:p>
          </w:tc>
        </w:sdtContent>
      </w:sdt>
    </w:tr>
  </w:tbl>
  <w:p w:rsidR="00226148" w:rsidRPr="00B41E19" w:rsidRDefault="00226148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BA8"/>
    <w:rsid w:val="00014A97"/>
    <w:rsid w:val="000311B4"/>
    <w:rsid w:val="00046388"/>
    <w:rsid w:val="000505F3"/>
    <w:rsid w:val="000859C6"/>
    <w:rsid w:val="000873C2"/>
    <w:rsid w:val="000A4F86"/>
    <w:rsid w:val="000D4690"/>
    <w:rsid w:val="000F2F95"/>
    <w:rsid w:val="00102B0C"/>
    <w:rsid w:val="00136830"/>
    <w:rsid w:val="00144C8E"/>
    <w:rsid w:val="0016270A"/>
    <w:rsid w:val="00192AD1"/>
    <w:rsid w:val="001A0918"/>
    <w:rsid w:val="001B6AD0"/>
    <w:rsid w:val="001C1578"/>
    <w:rsid w:val="00201031"/>
    <w:rsid w:val="00226148"/>
    <w:rsid w:val="00280450"/>
    <w:rsid w:val="00286C4F"/>
    <w:rsid w:val="002D2036"/>
    <w:rsid w:val="002E0F07"/>
    <w:rsid w:val="0030576F"/>
    <w:rsid w:val="003123B1"/>
    <w:rsid w:val="00333A35"/>
    <w:rsid w:val="00335B7B"/>
    <w:rsid w:val="00357260"/>
    <w:rsid w:val="00361ED7"/>
    <w:rsid w:val="003E1295"/>
    <w:rsid w:val="0040145B"/>
    <w:rsid w:val="00426FC6"/>
    <w:rsid w:val="0045154F"/>
    <w:rsid w:val="004C17E2"/>
    <w:rsid w:val="004F4D55"/>
    <w:rsid w:val="00505B78"/>
    <w:rsid w:val="005420F0"/>
    <w:rsid w:val="00573C0B"/>
    <w:rsid w:val="0058161F"/>
    <w:rsid w:val="005A195D"/>
    <w:rsid w:val="005F22D7"/>
    <w:rsid w:val="00617479"/>
    <w:rsid w:val="00632953"/>
    <w:rsid w:val="006517D9"/>
    <w:rsid w:val="00674031"/>
    <w:rsid w:val="006A0155"/>
    <w:rsid w:val="006A769C"/>
    <w:rsid w:val="006E60F4"/>
    <w:rsid w:val="0071433A"/>
    <w:rsid w:val="0073375F"/>
    <w:rsid w:val="00747041"/>
    <w:rsid w:val="00752213"/>
    <w:rsid w:val="0075448C"/>
    <w:rsid w:val="00754BAF"/>
    <w:rsid w:val="00786786"/>
    <w:rsid w:val="007A2049"/>
    <w:rsid w:val="007B27B5"/>
    <w:rsid w:val="007D46C5"/>
    <w:rsid w:val="007E769A"/>
    <w:rsid w:val="00800403"/>
    <w:rsid w:val="00801E5D"/>
    <w:rsid w:val="008B0808"/>
    <w:rsid w:val="008B66D9"/>
    <w:rsid w:val="008D4534"/>
    <w:rsid w:val="008F7951"/>
    <w:rsid w:val="0093171D"/>
    <w:rsid w:val="00936BFB"/>
    <w:rsid w:val="00937CD4"/>
    <w:rsid w:val="00975A7D"/>
    <w:rsid w:val="00976119"/>
    <w:rsid w:val="009826E6"/>
    <w:rsid w:val="009B61B6"/>
    <w:rsid w:val="009E212E"/>
    <w:rsid w:val="009E4B92"/>
    <w:rsid w:val="009F0FA0"/>
    <w:rsid w:val="00A22959"/>
    <w:rsid w:val="00A2558A"/>
    <w:rsid w:val="00A53F26"/>
    <w:rsid w:val="00A549EE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B031A"/>
    <w:rsid w:val="00BB1F36"/>
    <w:rsid w:val="00BC7F28"/>
    <w:rsid w:val="00BF70E0"/>
    <w:rsid w:val="00C16CEB"/>
    <w:rsid w:val="00C22F53"/>
    <w:rsid w:val="00C60914"/>
    <w:rsid w:val="00C64861"/>
    <w:rsid w:val="00C72DAE"/>
    <w:rsid w:val="00C749C2"/>
    <w:rsid w:val="00C83D01"/>
    <w:rsid w:val="00C849E7"/>
    <w:rsid w:val="00CC6174"/>
    <w:rsid w:val="00CD30BD"/>
    <w:rsid w:val="00D17EF6"/>
    <w:rsid w:val="00D30B08"/>
    <w:rsid w:val="00D455FB"/>
    <w:rsid w:val="00DB2758"/>
    <w:rsid w:val="00DC30A4"/>
    <w:rsid w:val="00E70BA8"/>
    <w:rsid w:val="00EA4A83"/>
    <w:rsid w:val="00EF7711"/>
    <w:rsid w:val="00F02A45"/>
    <w:rsid w:val="00F33A77"/>
    <w:rsid w:val="00F542E3"/>
    <w:rsid w:val="00F92456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66A088DDE463BA0A9C5B2EF5A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4FE8B-C08A-43B3-8BF5-019A33A76686}"/>
      </w:docPartPr>
      <w:docPartBody>
        <w:p w:rsidR="00472D40" w:rsidRDefault="00963546" w:rsidP="00963546">
          <w:pPr>
            <w:pStyle w:val="96B66A088DDE463BA0A9C5B2EF5A4C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E01E803842C463F97C4D1BE7D19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E0C8-1F3B-48B9-9F99-75A39F94CDBC}"/>
      </w:docPartPr>
      <w:docPartBody>
        <w:p w:rsidR="00472D40" w:rsidRDefault="00963546" w:rsidP="00963546">
          <w:pPr>
            <w:pStyle w:val="3E01E803842C463F97C4D1BE7D199AC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63546"/>
    <w:rsid w:val="00037F30"/>
    <w:rsid w:val="00082749"/>
    <w:rsid w:val="00105061"/>
    <w:rsid w:val="001D2E46"/>
    <w:rsid w:val="00251AE9"/>
    <w:rsid w:val="0027293B"/>
    <w:rsid w:val="003D4556"/>
    <w:rsid w:val="00472D40"/>
    <w:rsid w:val="005E66CF"/>
    <w:rsid w:val="005F3969"/>
    <w:rsid w:val="00651431"/>
    <w:rsid w:val="0068548A"/>
    <w:rsid w:val="006F0BFC"/>
    <w:rsid w:val="00710B97"/>
    <w:rsid w:val="00873B4C"/>
    <w:rsid w:val="00963546"/>
    <w:rsid w:val="00974ABC"/>
    <w:rsid w:val="00A409BA"/>
    <w:rsid w:val="00A46598"/>
    <w:rsid w:val="00A74D52"/>
    <w:rsid w:val="00C50701"/>
    <w:rsid w:val="00CA1B10"/>
    <w:rsid w:val="00CE71AB"/>
    <w:rsid w:val="00EC2A39"/>
    <w:rsid w:val="00ED0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B66A088DDE463BA0A9C5B2EF5A4CB0">
    <w:name w:val="96B66A088DDE463BA0A9C5B2EF5A4CB0"/>
    <w:rsid w:val="00963546"/>
  </w:style>
  <w:style w:type="paragraph" w:customStyle="1" w:styleId="3E01E803842C463F97C4D1BE7D199ACE">
    <w:name w:val="3E01E803842C463F97C4D1BE7D199ACE"/>
    <w:rsid w:val="009635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5C4C10-1F7C-4E94-AB1D-9F160A73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4661</Words>
  <Characters>26572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svuckovic</cp:lastModifiedBy>
  <cp:revision>3</cp:revision>
  <cp:lastPrinted>2023-02-02T12:51:00Z</cp:lastPrinted>
  <dcterms:created xsi:type="dcterms:W3CDTF">2023-04-19T06:01:00Z</dcterms:created>
  <dcterms:modified xsi:type="dcterms:W3CDTF">2023-04-19T06:03:00Z</dcterms:modified>
</cp:coreProperties>
</file>