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АВНА УСТАНОВА СРПСКО КУЛТУРНО – УМЈЕТНИЧКО</w:t>
      </w:r>
    </w:p>
    <w:p w:rsidR="00EE2C8E" w:rsidRPr="00B74F35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„СЕМБЕРИЈА“ БИЈЕЉИНА</w:t>
      </w:r>
    </w:p>
    <w:p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rPr>
          <w:sz w:val="20"/>
        </w:rPr>
      </w:pPr>
    </w:p>
    <w:p w:rsidR="00EE2C8E" w:rsidRPr="00A4311D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450A61" w:rsidRDefault="00EE2C8E" w:rsidP="00EE2C8E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353F3D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450A61" w:rsidRDefault="00EE2C8E" w:rsidP="00EE2C8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sr-Cyrl-BA"/>
        </w:rPr>
      </w:pP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НАПОМЕНЕ УЗ ГОДИШЊИ ФИНАНСИЈСКИ ИЗВЈЕШТАЈ</w:t>
      </w:r>
      <w:r>
        <w:rPr>
          <w:rFonts w:ascii="Times New Roman" w:hAnsi="Times New Roman" w:cs="Times New Roman"/>
          <w:b/>
          <w:sz w:val="32"/>
          <w:szCs w:val="32"/>
          <w:lang w:val="sr-Cyrl-BA"/>
        </w:rPr>
        <w:t xml:space="preserve"> ЗА ПЕРИОД 01. 01 – 31. 12. 20</w:t>
      </w:r>
      <w:r w:rsidR="00E439A0">
        <w:rPr>
          <w:rFonts w:ascii="Times New Roman" w:hAnsi="Times New Roman" w:cs="Times New Roman"/>
          <w:b/>
          <w:sz w:val="32"/>
          <w:szCs w:val="32"/>
          <w:lang w:val="sr-Latn-BA"/>
        </w:rPr>
        <w:t>23</w:t>
      </w: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. ГОДИНЕ</w:t>
      </w: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 МАРТ 20</w:t>
      </w:r>
      <w:r w:rsidR="00E439A0">
        <w:rPr>
          <w:rFonts w:ascii="Times New Roman" w:hAnsi="Times New Roman" w:cs="Times New Roman"/>
          <w:sz w:val="24"/>
          <w:szCs w:val="24"/>
          <w:lang w:val="sr-Latn-BA"/>
        </w:rPr>
        <w:t>24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EE2C8E" w:rsidRPr="002A0BD1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2A0BD1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276088" w:rsidRDefault="00EE2C8E" w:rsidP="00EE2C8E">
      <w:pPr>
        <w:pStyle w:val="ListParagraph"/>
        <w:numPr>
          <w:ilvl w:val="0"/>
          <w:numId w:val="1"/>
        </w:numPr>
        <w:spacing w:after="0"/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  <w:r>
        <w:rPr>
          <w:rStyle w:val="BookTitle"/>
          <w:rFonts w:ascii="Times New Roman" w:hAnsi="Times New Roman" w:cs="Times New Roman"/>
          <w:sz w:val="24"/>
          <w:szCs w:val="24"/>
        </w:rPr>
        <w:t>О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 xml:space="preserve">ПШТЕ ИНФОРМАЦИЈЕ </w:t>
      </w:r>
      <w:r>
        <w:rPr>
          <w:rStyle w:val="BookTitle"/>
          <w:rFonts w:ascii="Times New Roman" w:hAnsi="Times New Roman" w:cs="Times New Roman"/>
          <w:sz w:val="24"/>
          <w:szCs w:val="24"/>
        </w:rPr>
        <w:t xml:space="preserve">О 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>ЈУ СКУД „СЕМБЕРИЈА“ БИЈЕЉИНА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</w:t>
      </w:r>
      <w:r w:rsidRPr="00482D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основана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као друштво 1954. године, а као Јавна установа основана Одлуком</w:t>
      </w:r>
      <w:r w:rsidRPr="00B65A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Скуштине општине Бијељина на сједници одржаној дана 05.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08.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1997. године, број: 01. 023-21/97. Установа је регистрована у Основном суду у Бијељини дана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17. 10. 1997. године, број рјешења: 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FI – 631/97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ЈИБ: 4400315290000, Матични број: 01209230. </w:t>
      </w:r>
    </w:p>
    <w:p w:rsidR="00EE2C8E" w:rsidRPr="00B65A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Pr="00897FC3" w:rsidRDefault="00EE2C8E" w:rsidP="00EE2C8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Сједиште Јавне установе Српско културно – умјетничко друштво „Семберија“ је на адреси Патријарха Павла 1, Бијељина, регистровано у Привредном окружном суду у Бијељини дана 13.01.2014. године, број рјешења 059-0-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Reg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-13-000 790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EE2C8E" w:rsidRDefault="00EE2C8E" w:rsidP="00EE2C8E">
      <w:pPr>
        <w:spacing w:after="0"/>
        <w:ind w:firstLine="30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Јавна установа Српско културно – умјетничко друштво „Семберија“ Бијељина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тескту: ЈУ СКУД „Семберија“)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има својство правног лица, дјелује као непрофитна организација. Од 01. 01. 2007. године прелази на систем трезорског пословања</w:t>
      </w:r>
      <w:r w:rsidRPr="004D36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постаје буџетски корисник Града Бијељина, потрошачка јединица чији је организациони код 0005503.</w:t>
      </w: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Pr="00DB78BC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Обавјештења о разврставању пословног субјекта по дјелатности број: 17153 од дана 16. 01. 2014. године издатог од Агенције за посредничке, информатичке и финансијске услуге Бања Лука, а на основу члана 6. и 7. Закона о класификацији дје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атности Републике Српске („Службени гласник РС“, број 66/13), основна дј</w:t>
      </w:r>
      <w:r w:rsidR="00DB78BC">
        <w:rPr>
          <w:rFonts w:ascii="Times New Roman" w:eastAsia="Calibri" w:hAnsi="Times New Roman" w:cs="Times New Roman"/>
          <w:sz w:val="24"/>
          <w:szCs w:val="24"/>
          <w:lang w:val="sr-Cyrl-BA"/>
        </w:rPr>
        <w:t>елатност ЈУ СКУД „Семберија“ је</w:t>
      </w:r>
      <w:r w:rsidR="00DB78BC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Извођачка умјетност - 90.01</w:t>
      </w:r>
    </w:p>
    <w:p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Помоћне дјелатности у извођачкој умјетности – 90.02</w:t>
      </w:r>
    </w:p>
    <w:p w:rsidR="00EE2C8E" w:rsidRPr="00864470" w:rsidRDefault="00EE2C8E" w:rsidP="00EE2C8E">
      <w:pPr>
        <w:pStyle w:val="ListParagraph"/>
        <w:spacing w:after="0"/>
        <w:ind w:left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Своју дјелатност обавља у сједишту, у објекту који је власништво Града Бијељина, а уступљено на кориштење на основу Одлуке о додјели на кориштење, управљање и одржавање непокретности означене као к.ч. број 3280, к.ч. број 3734/1 и к.ч. број 3734/2. све к.о. Бијељина 2 и опреме у објектима власништво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број 01-022-40/14. од 20. марта 2014. године.</w:t>
      </w:r>
    </w:p>
    <w:p w:rsidR="00EE2C8E" w:rsidRPr="00041517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рад ЈУ СКУД „Семберија“ обезбјеђују се из буџета Града Бијељина и од донација. </w:t>
      </w:r>
    </w:p>
    <w:p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Органи управљања ЈУ СКУД „Семберија“ су Управни одбор и директор.  Управни одбор има предсједника и два члана. Број запослених на дан 31.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12.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439A0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је </w:t>
      </w:r>
      <w:r w:rsidR="00E439A0">
        <w:rPr>
          <w:rFonts w:ascii="Times New Roman" w:hAnsi="Times New Roman" w:cs="Times New Roman"/>
          <w:sz w:val="24"/>
          <w:szCs w:val="24"/>
          <w:lang/>
        </w:rPr>
        <w:t>пет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 xml:space="preserve"> радника запослених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 Уговору о раду на неодређено вријеме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>и један радник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 Уговор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>у о раду на одређено вријеме, а који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односи на мандат директора.  </w:t>
      </w: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Надзор над законитошћу рада и пословања ЈУ СКУД „Семберија“ врши од</w:t>
      </w:r>
      <w:r w:rsidR="00045874">
        <w:rPr>
          <w:rFonts w:ascii="Times New Roman" w:hAnsi="Times New Roman" w:cs="Times New Roman"/>
          <w:sz w:val="24"/>
          <w:szCs w:val="24"/>
          <w:lang w:val="sr-Cyrl-BA"/>
        </w:rPr>
        <w:t>јељење за друштвене дјелатности</w:t>
      </w:r>
      <w:r w:rsidR="00911DB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управе Града Бијељина. </w:t>
      </w:r>
    </w:p>
    <w:p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D46A96" w:rsidRDefault="00D46A96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  <w:r w:rsidRPr="00B35BB6"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>ФИНАНСИЈСКИ ИЗВЈЕШТАЈ</w:t>
      </w:r>
      <w:r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 xml:space="preserve"> </w:t>
      </w:r>
    </w:p>
    <w:p w:rsidR="00EE2C8E" w:rsidRPr="00B35BB6" w:rsidRDefault="00EE2C8E" w:rsidP="00EE2C8E">
      <w:pPr>
        <w:pStyle w:val="ListParagraph"/>
        <w:spacing w:after="0"/>
        <w:ind w:left="1068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У припреми финансијског извјештаја примјењена је модификована обрачунска основа, која подразумјева да се буџетски приходи у признају у периоду у којем су мјерљиви и расположиви, а буџетски расходи у обрачунском периоду кад је настала обавеза за плаћање, без обзира на то да ли је извршено и само плаћање.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Евидентирање свих трансакција и догађаја врши се у складу са прописаним контим оквиром за кориснике прихода буџета (институције јавног сектора), на нивоу прописаних класификација: фондовске, организационе, економске и функционалне. 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Pr="00FA7DC3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Финансијски извјештаји су изражени у конвертибилним маркама (КМ).</w:t>
      </w:r>
    </w:p>
    <w:p w:rsidR="00EE2C8E" w:rsidRPr="00B35BB6" w:rsidRDefault="00EE2C8E" w:rsidP="00EE2C8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  <w:lang w:val="sr-Cyrl-BA"/>
        </w:rPr>
      </w:pPr>
    </w:p>
    <w:p w:rsidR="00EE2C8E" w:rsidRDefault="00DB78BC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 – 31.12.2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023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 извјештавање за ЈУ СКУД „Семберија“ Бијељина – буџетског корисника Града Бијељина детаљно су објашњене све позиције које су важне за правилно разумијевање и објелодањивање финансијских извјештаја ЈУ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СКУД „Семберија“ Бијељина у 2023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9E71A5" w:rsidRDefault="00EE2C8E" w:rsidP="00EE2C8E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Преглед прихода на рачуноводственом фонду 01 – 05 </w:t>
      </w:r>
    </w:p>
    <w:p w:rsidR="00EE2C8E" w:rsidRPr="009E71A5" w:rsidRDefault="00EE2C8E" w:rsidP="00EE2C8E">
      <w:pPr>
        <w:pStyle w:val="ListParagraph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Pr="009E71A5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буџета Града Бијељина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305.895,00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Укупни влас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тити приходи на дан 31. 12. 2023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11DB7">
        <w:rPr>
          <w:rFonts w:ascii="Times New Roman" w:hAnsi="Times New Roman" w:cs="Times New Roman"/>
          <w:sz w:val="24"/>
          <w:szCs w:val="24"/>
          <w:lang w:val="sr-Cyrl-CS"/>
        </w:rPr>
        <w:t xml:space="preserve"> го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дине износе                </w:t>
      </w:r>
      <w:r w:rsidR="00DB78B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0,00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A54FF1" w:rsidRDefault="00A54FF1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приходи 31. 12. 2023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305.895,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12F9" w:rsidRPr="00D46A96" w:rsidRDefault="00EE2C8E" w:rsidP="00F812F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46A96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ластити приходи су укинути и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нису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планирани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финансијским планом за 2023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>. годину, обзиром да је Градоначеник дана 07. 02. 2018. године дописом број: 02-014-1-188/18. предложио ослобађање чланова плаћања чланарине, те је исти приједог Управни одбор ЈУ СКУД „Семберија“ Бијељина усвојио дана 19.02.2018. г</w:t>
      </w:r>
      <w:r w:rsidR="00F812F9"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одине Одлуком број: 128/18. 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2.2. Преглед расхода </w:t>
      </w:r>
    </w:p>
    <w:p w:rsidR="00291162" w:rsidRDefault="00291162" w:rsidP="00291162">
      <w:pPr>
        <w:spacing w:after="0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291162" w:rsidRDefault="00291162" w:rsidP="00747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DE5258">
        <w:rPr>
          <w:rFonts w:ascii="Times New Roman" w:hAnsi="Times New Roman" w:cs="Times New Roman"/>
          <w:sz w:val="24"/>
          <w:szCs w:val="24"/>
          <w:lang w:val="sr-Cyrl-CS"/>
        </w:rPr>
        <w:t>Ук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упни расходи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 xml:space="preserve"> на дан 31. 12. 2023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осим расхода обрачунског карактера износе </w:t>
      </w:r>
      <w:r w:rsidR="00E439A0">
        <w:rPr>
          <w:rFonts w:ascii="Times New Roman" w:hAnsi="Times New Roman" w:cs="Times New Roman"/>
          <w:b/>
          <w:sz w:val="24"/>
          <w:szCs w:val="24"/>
          <w:lang w:val="sr-Cyrl-CS"/>
        </w:rPr>
        <w:t>267.987,24</w:t>
      </w:r>
      <w:r w:rsidR="007470CC" w:rsidRPr="007470C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, а укупни расходи </w:t>
      </w:r>
      <w:r w:rsidR="007470CC">
        <w:rPr>
          <w:rFonts w:ascii="Times New Roman" w:hAnsi="Times New Roman" w:cs="Times New Roman"/>
          <w:sz w:val="24"/>
          <w:szCs w:val="24"/>
          <w:lang/>
        </w:rPr>
        <w:t xml:space="preserve">и издаци 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на дан 31. 12. 2023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 xml:space="preserve"> износе </w:t>
      </w:r>
      <w:r w:rsidR="00E439A0">
        <w:rPr>
          <w:rFonts w:ascii="Times New Roman" w:hAnsi="Times New Roman" w:cs="Times New Roman"/>
          <w:b/>
          <w:sz w:val="24"/>
          <w:szCs w:val="24"/>
          <w:lang w:val="sr-Cyrl-CS"/>
        </w:rPr>
        <w:t>286.912,59</w:t>
      </w:r>
      <w:r w:rsidRPr="006B6A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1162" w:rsidRDefault="00291162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Pr="007470CC" w:rsidRDefault="00291162" w:rsidP="00747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накнаде за регрес и накнаде за топли оброк које су исплаћене за пет запослених радника</w:t>
      </w:r>
      <w:r>
        <w:rPr>
          <w:rFonts w:ascii="Times New Roman" w:hAnsi="Times New Roman" w:cs="Times New Roman"/>
          <w:sz w:val="24"/>
          <w:szCs w:val="24"/>
          <w:lang w:val="sr-Cyrl-BA"/>
        </w:rPr>
        <w:t>, тј.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и четири радника запослена по Уговору на неодређено вријеме, те једног радника запосленог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по Уговору на одређено вријеме до 30. јуна. 2023. године. Од 01. јула 2023. примјењује се Колективни уговор за запослене у Јавној установи Српско културно – умјетничко друштво „Семберија“ Бијељина.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A96" w:rsidRPr="00856C88" w:rsidRDefault="00D46A96" w:rsidP="00BA4B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DB78BC" w:rsidP="007470C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  <w:r w:rsidRPr="009C591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Расходи за лична примања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која </w:t>
      </w:r>
      <w:r w:rsidR="00BA4B57">
        <w:rPr>
          <w:rFonts w:ascii="Times New Roman" w:hAnsi="Times New Roman" w:cs="Times New Roman"/>
          <w:b/>
          <w:i/>
          <w:lang w:val="sr-Cyrl-CS"/>
        </w:rPr>
        <w:t xml:space="preserve"> укупно износе 199.784,90</w:t>
      </w:r>
      <w:r w:rsidRPr="009C5912">
        <w:rPr>
          <w:rFonts w:ascii="Times New Roman" w:hAnsi="Times New Roman" w:cs="Times New Roman"/>
          <w:b/>
          <w:i/>
          <w:lang w:val="sr-Cyrl-CS"/>
        </w:rPr>
        <w:t xml:space="preserve"> КМ</w:t>
      </w:r>
      <w:r>
        <w:rPr>
          <w:rFonts w:ascii="Times New Roman" w:hAnsi="Times New Roman" w:cs="Times New Roman"/>
          <w:b/>
          <w:i/>
          <w:lang w:val="sr-Cyrl-CS"/>
        </w:rPr>
        <w:t xml:space="preserve">. </w:t>
      </w:r>
    </w:p>
    <w:p w:rsidR="007470CC" w:rsidRPr="002C2EC7" w:rsidRDefault="007470CC" w:rsidP="007470C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</w:p>
    <w:p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lang w:val="sr-Cyrl-CS"/>
        </w:rPr>
        <w:t>Конто 4111 Расходи за бруто плате:</w:t>
      </w:r>
    </w:p>
    <w:p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411 111 Расходи за основну плату                                                       </w:t>
      </w:r>
      <w:r w:rsidR="00BA4B57">
        <w:rPr>
          <w:rFonts w:ascii="Times New Roman" w:hAnsi="Times New Roman" w:cs="Times New Roman"/>
          <w:sz w:val="24"/>
          <w:szCs w:val="24"/>
          <w:lang w:val="sr-Cyrl-BA"/>
        </w:rPr>
        <w:t>98.137,13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411 112 Расходи за порез на плату                                                         </w:t>
      </w:r>
      <w:r w:rsidR="00BA4B57">
        <w:rPr>
          <w:rFonts w:ascii="Times New Roman" w:hAnsi="Times New Roman" w:cs="Times New Roman"/>
          <w:sz w:val="24"/>
          <w:szCs w:val="24"/>
          <w:lang w:val="sr-Latn-BA"/>
        </w:rPr>
        <w:t>7.982,98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7D5DA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411 131 Расходи за увећање основне плате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>по основу раднг стажа 10.971,88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411 192 Расходи за доприносе за ПИО                                         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      31.394,23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411 195 Расходи за доприносе за здравствено осигурање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BA4B57">
        <w:rPr>
          <w:rFonts w:ascii="Times New Roman" w:hAnsi="Times New Roman" w:cs="Times New Roman"/>
          <w:sz w:val="24"/>
          <w:szCs w:val="24"/>
          <w:lang w:val="sr-Cyrl-BA"/>
        </w:rPr>
        <w:t>7.309,16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411 197 Расходи за доприносе за осигурање од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 незапослености        1.018,13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411 198 Расходи за доприносе за дјечију заштиту                               </w:t>
      </w:r>
      <w:r w:rsidR="00BA4B57">
        <w:rPr>
          <w:rFonts w:ascii="Times New Roman" w:hAnsi="Times New Roman" w:cs="Times New Roman"/>
          <w:sz w:val="24"/>
          <w:szCs w:val="24"/>
          <w:lang w:val="sr-Cyrl-BA"/>
        </w:rPr>
        <w:t>2.884,87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411 199 Расходи за остале порезе и доприносе на пла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>ту                          65,82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4111 расходи за бруто плате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</w:t>
      </w:r>
      <w:r w:rsidR="00BA4B57">
        <w:rPr>
          <w:rFonts w:ascii="Times New Roman" w:hAnsi="Times New Roman" w:cs="Times New Roman"/>
          <w:b/>
          <w:i/>
          <w:sz w:val="24"/>
          <w:szCs w:val="24"/>
          <w:lang w:val="sr-Cyrl-BA"/>
        </w:rPr>
        <w:t>169.764,20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E033AE" w:rsidRDefault="00E033AE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033AE" w:rsidRPr="00616E53" w:rsidRDefault="00E033AE" w:rsidP="00E033AE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По основу наредбе број: 140/24. од 27.02.2024. расходи по </w:t>
      </w:r>
      <w:r w:rsidR="0032040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основи доприноса за професионалну рехабилитацију инвалида за 11/23. и 12/23.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евидентирани </w:t>
      </w:r>
      <w:r w:rsidR="0032040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су </w:t>
      </w:r>
      <w:r w:rsidR="00320405">
        <w:rPr>
          <w:rFonts w:ascii="Times New Roman" w:hAnsi="Times New Roman" w:cs="Times New Roman"/>
          <w:b/>
          <w:i/>
          <w:sz w:val="24"/>
          <w:szCs w:val="24"/>
          <w:lang/>
        </w:rPr>
        <w:t>на конто 411 199</w:t>
      </w:r>
      <w:r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.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4112 Расходи за бруто накнаде трошкова и осталих личних примања запослених:</w:t>
      </w:r>
    </w:p>
    <w:p w:rsidR="00DB78BC" w:rsidRPr="002C2EC7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411 211 Накнада превоза на посао и са посла              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1.160,11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411 221 Расходи за накнаде за топли оброк                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5.464,65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411 222 Накнаде за регрес за годишњи одмор             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6.300,00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411 227 Расходи за порезе на накнаде                                                   </w:t>
      </w:r>
      <w:r w:rsidR="00ED1AEB">
        <w:rPr>
          <w:rFonts w:ascii="Times New Roman" w:hAnsi="Times New Roman" w:cs="Times New Roman"/>
          <w:sz w:val="24"/>
          <w:szCs w:val="24"/>
          <w:lang w:val="sr-Cyrl-BA"/>
        </w:rPr>
        <w:t>1.542,90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411 257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накнаде по основу награда – порез на доходак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 w:rsidR="00ED1AEB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="00ED1AEB">
        <w:rPr>
          <w:rFonts w:ascii="Times New Roman" w:hAnsi="Times New Roman" w:cs="Times New Roman"/>
          <w:sz w:val="24"/>
          <w:szCs w:val="24"/>
          <w:lang w:val="sr-Cyrl-BA"/>
        </w:rPr>
        <w:t>39,33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411 259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остале награде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 w:rsidR="00ED1AEB">
        <w:rPr>
          <w:rFonts w:ascii="Times New Roman" w:hAnsi="Times New Roman" w:cs="Times New Roman"/>
          <w:sz w:val="24"/>
          <w:szCs w:val="24"/>
          <w:lang w:val="sr-Cyrl-BA"/>
        </w:rPr>
        <w:t>1.550,00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411 261 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по основу дневница за службена путовања у земљи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="00ED1AEB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Latn-BA"/>
        </w:rPr>
        <w:t>0,00 KM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411 262 Расходи по основу дневница за службена путовања у ино.  </w:t>
      </w:r>
      <w:r w:rsidR="00ED1AEB">
        <w:rPr>
          <w:rFonts w:ascii="Times New Roman" w:hAnsi="Times New Roman" w:cs="Times New Roman"/>
          <w:sz w:val="24"/>
          <w:szCs w:val="24"/>
          <w:lang w:val="sr-Cyrl-BA"/>
        </w:rPr>
        <w:t>2.190,85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411 292 Расходи за доприносе за ПИО                          </w:t>
      </w:r>
      <w:r w:rsidR="00ED1AE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3.658,77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411 295 Расходи за доприносе за здравствено осиг</w:t>
      </w:r>
      <w:r w:rsidR="00ED1AEB">
        <w:rPr>
          <w:rFonts w:ascii="Times New Roman" w:hAnsi="Times New Roman" w:cs="Times New Roman"/>
          <w:sz w:val="24"/>
          <w:szCs w:val="24"/>
          <w:lang w:val="sr-Cyrl-CS"/>
        </w:rPr>
        <w:t>урање                   2.017,33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411 297 Расходи за доприносе за осигурање од</w:t>
      </w:r>
      <w:r w:rsidR="00ED1AEB">
        <w:rPr>
          <w:rFonts w:ascii="Times New Roman" w:hAnsi="Times New Roman" w:cs="Times New Roman"/>
          <w:sz w:val="24"/>
          <w:szCs w:val="24"/>
          <w:lang w:val="sr-Cyrl-CS"/>
        </w:rPr>
        <w:t xml:space="preserve"> незапослености           118,58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411 298 Расходи за доприносе за дјечију заштиту        </w:t>
      </w:r>
      <w:r w:rsidR="00ED1AE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336,30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411 299 Расходи за остале порезе и доприносе на накнаде                        0,00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 Расходи за бруто накнаде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="00ED1AEB">
        <w:rPr>
          <w:rFonts w:ascii="Times New Roman" w:hAnsi="Times New Roman" w:cs="Times New Roman"/>
          <w:b/>
          <w:i/>
          <w:sz w:val="24"/>
          <w:szCs w:val="24"/>
          <w:lang w:val="sr-Latn-BA"/>
        </w:rPr>
        <w:t>24.418,82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E033AE" w:rsidRDefault="00E033AE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033AE" w:rsidRPr="00E033AE" w:rsidRDefault="00E033AE" w:rsidP="00E033AE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По основу наредбе број: 139/24. од 27.02.2024. расходи по основу једнократне помоћи у случају смрти члана уже породице евидентирани </w:t>
      </w:r>
      <w:r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на конто 411 259.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Pr="00C54026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4113 Расходи за накнаду плата запослених за вријеме боловања, родитељског одуства и осталих накнада плата</w:t>
      </w:r>
    </w:p>
    <w:p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411 311 Расходи за накнаду плата за вријеме боловања који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се не рефундирају                                               </w:t>
      </w:r>
      <w:r w:rsidR="00B0548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2.489,42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411 317 Расходи за порезе на накнаду плата за вријеме боловања,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родитељског одсуства и осталих накнада плата које се не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рефундирају                                                          </w:t>
      </w:r>
      <w:r w:rsidR="00B0548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152,52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411 392 Расходи за доприносе за накнаду плата за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пензијско и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инвалидско осигурање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вријеме боловања, родитељског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е се не рефундирају       708,35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411 393 Расходи за доприносе на накнаду плата за здравствено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</w:t>
      </w:r>
      <w:r w:rsidRPr="00831E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вријеме боловања, родитељског одсуства и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осталих накнада плата које се не рефундирају           </w:t>
      </w:r>
      <w:r w:rsidR="00BE4EEF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390,55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411 394 Расходи за доприносе на накнаду плата за осигурање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 незапослености  за вријеме боловања, родитељског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које се не рефундирају      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  22,98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411 395 Расходи за доприносе на накнаду плата за дјечију заштиту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за вријеме боловања, родитељског одсуства и осталих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накнада плата које се не рефундирају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 w:rsidR="00BE4EEF">
        <w:rPr>
          <w:rFonts w:ascii="Times New Roman" w:hAnsi="Times New Roman" w:cs="Times New Roman"/>
          <w:sz w:val="24"/>
          <w:szCs w:val="24"/>
          <w:lang w:val="sr-Cyrl-BA"/>
        </w:rPr>
        <w:t>65,08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4113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накнаду плата запослених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вријеме боловања, родитељског одуства и осталих накнада </w:t>
      </w:r>
    </w:p>
    <w:p w:rsidR="00DB78BC" w:rsidRDefault="00DB78BC" w:rsidP="00D46A9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плата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</w:t>
      </w:r>
      <w:r w:rsidR="00BE4EE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3.828,90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Pr="00C54026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4114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отпремнине и једнократне помоћи (бруто)</w:t>
      </w:r>
    </w:p>
    <w:p w:rsidR="00DB78BC" w:rsidRPr="009C591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411 419 Расходи за остале једнократне помоћи           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594,00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411 491 Расходи за порезе на отпремнине и ј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еднократне помоћи         241,86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411 492 Расходи за доприносе на пензијско и инвалидско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 на отпремнине и једнократне по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моћи                      559,28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411 493 Расходи за доприносе за здравствено осигурање на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отпремнине и једнократне помоћи                  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308,32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411 494 Расходи за доприносе за осигурање од незапослености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 отпремнине и једнократне помоћи               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18,12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411 495 Расходи за доприносе за дјечију заштиту на отпремнине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једнократне помоћи                                         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51,40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D7492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4114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отпремнине и једн. помоћи      </w:t>
      </w:r>
      <w:r w:rsidR="00BE4EEF">
        <w:rPr>
          <w:rFonts w:ascii="Times New Roman" w:hAnsi="Times New Roman" w:cs="Times New Roman"/>
          <w:b/>
          <w:i/>
          <w:sz w:val="24"/>
          <w:szCs w:val="24"/>
          <w:lang w:val="sr-Cyrl-BA"/>
        </w:rPr>
        <w:t>1.772,98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B78BC" w:rsidRPr="009C5912" w:rsidRDefault="00DB78BC" w:rsidP="00DB78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E16">
        <w:rPr>
          <w:rFonts w:ascii="Times New Roman" w:hAnsi="Times New Roman" w:cs="Times New Roman"/>
          <w:sz w:val="24"/>
          <w:szCs w:val="24"/>
          <w:lang w:val="sr-Cyrl-CS"/>
        </w:rPr>
        <w:t>Бруто плате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до 30. јуна 2023.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обрачунате су на бази фонда радних сати као производ цијене рада 135,00 КМ и одговарајућих коефицијената, укључујући минули рад по стопи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0,3%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до 25 година радног стажа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0,5% преко 25 година радног стажа. Плате су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обрачунате за директора и пет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радника запослена по Уговору на неодређено вријеме.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д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 xml:space="preserve">1. јула 2023. године 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до 31. децембра 2023. године </w:t>
      </w:r>
      <w:r w:rsidR="00BE4EEF">
        <w:rPr>
          <w:rFonts w:ascii="Times New Roman" w:hAnsi="Times New Roman" w:cs="Times New Roman"/>
          <w:sz w:val="24"/>
          <w:szCs w:val="24"/>
          <w:lang w:val="sr-Cyrl-CS"/>
        </w:rPr>
        <w:t>у примјени је Колективни уговор за запослене у Јавној установи Српско културно – умјетничко друштво „Семберија“ Б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ијељина, те је донесена и нова цијена рада од 125,00 КМ.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A96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>Расходи за бруто накнаде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односе се на накнаде за регрес и накнаде за топли оброк које су исплаћене за шест запослених радника</w:t>
      </w:r>
      <w:r>
        <w:rPr>
          <w:rFonts w:ascii="Times New Roman" w:hAnsi="Times New Roman" w:cs="Times New Roman"/>
          <w:sz w:val="24"/>
          <w:szCs w:val="24"/>
          <w:lang w:val="sr-Cyrl-BA"/>
        </w:rPr>
        <w:t>, тј.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и пет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запослена по Уговору на неодређено вријеме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 до 30. 06.2023. године јер се по Колективном уговору накнаде не исказују посебно већ су садржане у коефицијентима.</w:t>
      </w:r>
    </w:p>
    <w:p w:rsidR="00B72B44" w:rsidRDefault="00B72B44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Pr="002C2EC7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Расходи по основу утрошка енергије, комуналних и комуникционих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 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транспортних услуга:</w:t>
      </w:r>
    </w:p>
    <w:p w:rsidR="00DB78BC" w:rsidRPr="00B95D01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5D01">
        <w:rPr>
          <w:rFonts w:ascii="Times New Roman" w:hAnsi="Times New Roman" w:cs="Times New Roman"/>
          <w:sz w:val="24"/>
          <w:szCs w:val="24"/>
          <w:lang w:val="sr-Cyrl-CS"/>
        </w:rPr>
        <w:t>412 222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одвоза смећа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</w:t>
      </w:r>
      <w:r w:rsidR="00B72B44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195,82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412 231 Расходи за услуге коришћења фиксних те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>лефона                  1.009,15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412 234 Расходи за поштанске услуге                         </w:t>
      </w:r>
      <w:r w:rsidR="00B72B4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113,30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B72B44" w:rsidRDefault="00B72B44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412 249 Расходи за остале услуге превоза и смјештаја                           326,94 КМ</w:t>
      </w:r>
    </w:p>
    <w:p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 Расходи по основу утрошка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енергије, комуналних и комуникационих транспортних услуга</w:t>
      </w:r>
      <w:r w:rsidR="00B72B4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1.645,21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B72B44" w:rsidRDefault="00B72B44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580414" w:rsidRDefault="00B72B44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 основу наредбе број: 145/24. од 28.02.2024. рачун број: 29845/23.</w:t>
      </w:r>
      <w:r w:rsidR="0058041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д.о.о.</w:t>
      </w:r>
    </w:p>
    <w:p w:rsidR="00B72B44" w:rsidRPr="00B72B44" w:rsidRDefault="00B72B44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Trimix</w:t>
      </w:r>
      <w:r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“ унесен на конто 412 249. </w:t>
      </w:r>
    </w:p>
    <w:p w:rsidR="00DB78BC" w:rsidRPr="00616E53" w:rsidRDefault="00DB78BC" w:rsidP="00D46A9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4123 Расходи за режијски материјал:</w:t>
      </w:r>
    </w:p>
    <w:p w:rsidR="00DB78BC" w:rsidRPr="005E25E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5E3">
        <w:rPr>
          <w:rFonts w:ascii="Times New Roman" w:hAnsi="Times New Roman" w:cs="Times New Roman"/>
          <w:sz w:val="24"/>
          <w:szCs w:val="24"/>
          <w:lang w:val="sr-Cyrl-CS"/>
        </w:rPr>
        <w:t>412 311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компјутерски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5A475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118,17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412 319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 xml:space="preserve">Расход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>канцеларијски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5A475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366,71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412 321 Расходи за хемијски материјал за одрж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>авање чистоће             260,55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412 331 Расходи за дневну штампу                                                             39,00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конто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4123 Расходи за режијски материјал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 w:rsidR="00C20EC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784,43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4124 Расходи за материјал за образовање, науку, културу и спорт: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412 439 Расходи за остали материјал образовање, науку, културу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спорт                                                                 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971,10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4124 Расходи за материјал за образовање, науку,</w:t>
      </w:r>
    </w:p>
    <w:p w:rsidR="00DB78BC" w:rsidRPr="000D1C1E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културу и спорт                                                            </w:t>
      </w:r>
      <w:r w:rsidR="00C20EC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971,10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Pr="009E357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4125 Расходи за текуће одржавање: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412 536 Расходи за текуће одржавање опреме за образовање, науку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културу и спорт                                               </w:t>
      </w:r>
      <w:r w:rsidR="00C20EC5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   197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,00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412 591 Расходи за остало текуће одржавање             </w:t>
      </w:r>
      <w:r w:rsidR="00C20EC5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5.119,14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  <w:t>Укупно за конто 4125 Расходи за текуће одржава</w:t>
      </w:r>
      <w:r w:rsidR="00C20EC5"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  <w:t>ње                     5.316,14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  <w:t xml:space="preserve"> КМ</w:t>
      </w:r>
    </w:p>
    <w:p w:rsidR="00C20EC5" w:rsidRPr="00175119" w:rsidRDefault="00C20EC5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</w:pPr>
    </w:p>
    <w:p w:rsidR="00C20EC5" w:rsidRDefault="00C20EC5" w:rsidP="00C20EC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 основу наредбе број: 141/24. од 27.02.2024. расходи по основу Уговора о</w:t>
      </w:r>
    </w:p>
    <w:p w:rsidR="00C20EC5" w:rsidRPr="00C20EC5" w:rsidRDefault="00C20EC5" w:rsidP="00C20EC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ППП Драгана Стјепановић за 11/23. и 12/23. </w:t>
      </w:r>
      <w:r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унесени на конто 412 591. </w:t>
      </w:r>
    </w:p>
    <w:p w:rsidR="00DB78BC" w:rsidRPr="006D154D" w:rsidRDefault="00DB78BC" w:rsidP="00DB78B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Pr="00E026E1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и смјештаја:</w:t>
      </w:r>
    </w:p>
    <w:p w:rsidR="00DB78BC" w:rsidRDefault="00DB78BC" w:rsidP="00C20E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412 619 Остали расходи по основу службени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 xml:space="preserve"> путовања у земљи       1.783,61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175119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412 629 Остали расходи по основу служ. 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>путовања у ино.               24.645,92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</w:t>
      </w:r>
    </w:p>
    <w:p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смјештаја                                                                                          </w:t>
      </w:r>
      <w:r w:rsidR="00C20EC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26.429,53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433B0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4127 Расходи за стручне услуге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412 712 Расходи за услуге платног промета –банке      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99,75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412 713 Расходи за услуге конверзије                            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124,31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C0779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412 722</w:t>
      </w:r>
      <w:r w:rsidRPr="0053548B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53548B">
        <w:rPr>
          <w:rFonts w:ascii="TimesNewRomanPSMT" w:hAnsi="TimesNewRomanPSMT" w:cs="TimesNewRomanPSMT"/>
          <w:sz w:val="24"/>
          <w:szCs w:val="24"/>
          <w:lang w:val="sr-Latn-BA"/>
        </w:rPr>
        <w:t>Расходи за путно осигурање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</w:t>
      </w:r>
      <w:r w:rsidR="00C20EC5">
        <w:rPr>
          <w:rFonts w:ascii="Times New Roman" w:hAnsi="Times New Roman" w:cs="Times New Roman"/>
          <w:sz w:val="24"/>
          <w:szCs w:val="24"/>
          <w:lang w:val="sr-Cyrl-BA"/>
        </w:rPr>
        <w:t>611,39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B78BC" w:rsidRPr="00433B0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осигурање запослених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58,72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штампања, графичке обраде, копирања, </w:t>
      </w:r>
    </w:p>
    <w:p w:rsidR="00DB78BC" w:rsidRPr="00433B0B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увезивања и сл.                                                                         </w:t>
      </w:r>
      <w:r w:rsidR="00C20EC5">
        <w:rPr>
          <w:rFonts w:ascii="Times New Roman" w:hAnsi="Times New Roman" w:cs="Times New Roman"/>
          <w:sz w:val="24"/>
          <w:szCs w:val="24"/>
          <w:lang w:val="sr-Cyrl-CS"/>
        </w:rPr>
        <w:t xml:space="preserve">     957,53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рекламе и пропаг. и односа са јавношћу     </w:t>
      </w:r>
      <w:r>
        <w:rPr>
          <w:rFonts w:ascii="Times New Roman" w:hAnsi="Times New Roman" w:cs="Times New Roman"/>
          <w:sz w:val="24"/>
          <w:szCs w:val="24"/>
          <w:lang w:val="sr-Cyrl-BA"/>
        </w:rPr>
        <w:t>421,20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C20EC5" w:rsidRDefault="00DB78BC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D24C46">
        <w:rPr>
          <w:rFonts w:ascii="Times New Roman" w:hAnsi="Times New Roman" w:cs="Times New Roman"/>
          <w:sz w:val="24"/>
          <w:szCs w:val="24"/>
          <w:lang w:val="sr-Latn-BA"/>
        </w:rPr>
        <w:t>412 736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24C46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>Расходи за услуге израде фотографија и филма</w:t>
      </w:r>
      <w:r w:rsidR="00C20EC5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          600,00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KM</w:t>
      </w:r>
    </w:p>
    <w:p w:rsidR="00C20EC5" w:rsidRDefault="00C20EC5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  <w:t xml:space="preserve">            412 754 Расходи за услуге овјере и верификације                                     12,00 КМ</w:t>
      </w:r>
    </w:p>
    <w:p w:rsidR="00EF4545" w:rsidRPr="00C20EC5" w:rsidRDefault="00EF4545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  <w:t xml:space="preserve">            412 759 Расходи за остале правне и административне услуге               327,60 КМ</w:t>
      </w:r>
    </w:p>
    <w:p w:rsidR="00DB78BC" w:rsidRDefault="00DB78BC" w:rsidP="00DB78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412 779 </w:t>
      </w:r>
      <w:r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компјутерске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EF454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163,80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F4545" w:rsidRPr="00DB1EAC" w:rsidRDefault="00EF4545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412 799 Расходи за остале стручне услуге                                               602,53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4127 Расходи за стручне услуге                 </w:t>
      </w:r>
      <w:r w:rsidR="00EF4545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3.978,83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EF4545" w:rsidRDefault="00EF4545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F4545" w:rsidRDefault="00EF4545" w:rsidP="00EF45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 основу наредбе број: 144/24. од 28.02.2024. године и 190/24. од 04.03.2024.</w:t>
      </w:r>
    </w:p>
    <w:p w:rsidR="00EF4545" w:rsidRDefault="00EF4545" w:rsidP="00EF45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године расход по основу обавезе према д.о.о. „ЗП Комерц“ и образац бр 3.</w:t>
      </w:r>
    </w:p>
    <w:p w:rsidR="00EF4545" w:rsidRPr="00EF4545" w:rsidRDefault="00EF4545" w:rsidP="00EF45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благајна се терете на конто 412 799.</w:t>
      </w:r>
      <w:r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 </w:t>
      </w:r>
    </w:p>
    <w:p w:rsidR="00DB78BC" w:rsidRPr="00952E72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расходи:</w:t>
      </w:r>
    </w:p>
    <w:p w:rsidR="00DB78BC" w:rsidRPr="00351976" w:rsidRDefault="00DB78BC" w:rsidP="00DB78B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412 933 Расходи за бруто накнаде члановима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        9.995,10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412 937 Расходи за бруто накнаде по уговору о дјелу 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7.181,88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412 938 Расходи за бруто накнаде за привремене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повремене послове и уг.о допунском раду  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2.946,22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412 941 Расходи по основу репрезентације у земљ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>и                            1.837,50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412 943 Расходи по основу организације при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>јема, маниф. и сл.         2.995,94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412 949 Остали расходи по основу репрезентације       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90,71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412 972 Расходи по основу доприноса за професионалну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рехабилитацију инвалида                                   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326,90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412 979 Расходи по основу осталих доприноса, јавних такси и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накнада на терет послодавца                          </w:t>
      </w:r>
      <w:r w:rsidR="009206D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72</w:t>
      </w:r>
      <w:r>
        <w:rPr>
          <w:rFonts w:ascii="Times New Roman" w:hAnsi="Times New Roman" w:cs="Times New Roman"/>
          <w:sz w:val="24"/>
          <w:szCs w:val="24"/>
          <w:lang w:val="sr-Latn-BA"/>
        </w:rPr>
        <w:t>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88372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412 999 Остали непоменути расходи                                                     </w:t>
      </w:r>
      <w:r w:rsidR="009206D0">
        <w:rPr>
          <w:rFonts w:ascii="Times New Roman" w:hAnsi="Times New Roman" w:cs="Times New Roman"/>
          <w:sz w:val="24"/>
          <w:szCs w:val="24"/>
          <w:lang w:val="sr-Latn-BA"/>
        </w:rPr>
        <w:t>3.</w:t>
      </w:r>
      <w:r w:rsidR="009206D0">
        <w:rPr>
          <w:rFonts w:ascii="Times New Roman" w:hAnsi="Times New Roman" w:cs="Times New Roman"/>
          <w:sz w:val="24"/>
          <w:szCs w:val="24"/>
          <w:lang/>
        </w:rPr>
        <w:t>630,85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DB78BC" w:rsidRPr="00616E53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 w:rsidR="00DB3E10">
        <w:rPr>
          <w:rFonts w:ascii="Times New Roman" w:hAnsi="Times New Roman" w:cs="Times New Roman"/>
          <w:b/>
          <w:i/>
          <w:sz w:val="24"/>
          <w:szCs w:val="24"/>
          <w:lang w:val="sr-Cyrl-BA"/>
        </w:rPr>
        <w:t>29.</w:t>
      </w:r>
      <w:r w:rsidR="00DB3E1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077,10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3E10" w:rsidRDefault="00DB78BC" w:rsidP="003204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502C">
        <w:rPr>
          <w:rFonts w:ascii="Times New Roman" w:hAnsi="Times New Roman" w:cs="Times New Roman"/>
          <w:sz w:val="24"/>
          <w:szCs w:val="24"/>
          <w:lang w:val="sr-Cyrl-CS"/>
        </w:rPr>
        <w:t>Накнаде члановима Управног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ЈУ СКУД „Семберија“ Бијељина обрачунате су у складу са Одлуком Скупштине Града о ограничавању висине накнаде за рад чланова управних и надзорних одбора у јавним установама и предузећима чији је оснивач Град Бијељина број: 01-022-148/13. и  Одлуке о ограничавању висине накнаде за рад чланова Управног одбора у Јавној установи Српско културно – умјетничко друш</w:t>
      </w:r>
      <w:r w:rsidR="00EF4545">
        <w:rPr>
          <w:rFonts w:ascii="Times New Roman" w:hAnsi="Times New Roman" w:cs="Times New Roman"/>
          <w:sz w:val="24"/>
          <w:szCs w:val="24"/>
          <w:lang w:val="sr-Cyrl-CS"/>
        </w:rPr>
        <w:t>тво „Семберија“ Бијељина за 2023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годину, којом је одређено да је износ нето накнаде 200,00 КМ по члану мјесечно.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по основу осталих доприноса, јавних такси и накнада на терет послодавца односе се на плаћање водне накнаде.</w:t>
      </w:r>
    </w:p>
    <w:p w:rsidR="00320405" w:rsidRDefault="00320405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DB78BC" w:rsidP="00DB78B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Конто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5113 Издаци за набавку постројења и опреме – издаци за не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финансијску имов</w:t>
      </w:r>
      <w:r w:rsidR="00203A6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ину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односе се на:</w:t>
      </w:r>
    </w:p>
    <w:p w:rsidR="00DB78BC" w:rsidRPr="00FB65CF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DB78BC" w:rsidRPr="00C42C94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>511 32</w:t>
      </w:r>
      <w:r w:rsidRPr="00C42C94"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Издаци за набавку канцеларијског намјештаја                       </w:t>
      </w:r>
      <w:r w:rsidR="00DB3E10">
        <w:rPr>
          <w:rFonts w:ascii="Times New Roman" w:hAnsi="Times New Roman" w:cs="Times New Roman"/>
          <w:sz w:val="24"/>
          <w:szCs w:val="24"/>
          <w:lang w:val="sr-Cyrl-BA"/>
        </w:rPr>
        <w:t xml:space="preserve">   340,00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</w:p>
    <w:p w:rsidR="00DB78BC" w:rsidRPr="00C42C94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 w:rsidRPr="00C42C94">
        <w:rPr>
          <w:rFonts w:ascii="Times New Roman" w:hAnsi="Times New Roman" w:cs="Times New Roman"/>
          <w:sz w:val="24"/>
          <w:szCs w:val="24"/>
          <w:lang w:val="sr-Latn-BA"/>
        </w:rPr>
        <w:t>511 327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Издаци за набавку остале канцеларијске опреме, </w:t>
      </w:r>
    </w:p>
    <w:p w:rsidR="00DB78BC" w:rsidRDefault="00DB78BC" w:rsidP="00DB78BC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алата и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инвентара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B3E10">
        <w:rPr>
          <w:rFonts w:ascii="Times New Roman" w:hAnsi="Times New Roman" w:cs="Times New Roman"/>
          <w:sz w:val="24"/>
          <w:szCs w:val="24"/>
          <w:lang w:val="sr-Cyrl-BA"/>
        </w:rPr>
        <w:t>277,00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B78BC" w:rsidRDefault="00DB78BC" w:rsidP="00DB78B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511 335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FB65CF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рачунарске опреме 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</w:t>
      </w:r>
      <w:r w:rsidR="00DB3E10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1.696,13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KM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511 341 Издаци за набавку опреме за гријање, вентилацију                          </w:t>
      </w:r>
    </w:p>
    <w:p w:rsidR="00DB78BC" w:rsidRPr="004F3EB6" w:rsidRDefault="00DB78BC" w:rsidP="00DB78B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и хлађење                                                             </w:t>
      </w:r>
      <w:r w:rsidR="00DB3E10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           769,00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КМ</w:t>
      </w:r>
    </w:p>
    <w:p w:rsidR="00DB78BC" w:rsidRPr="0012579D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511 364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сценске и позоришне опреме</w:t>
      </w:r>
      <w:r w:rsidR="00DB3E10"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15.642,37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DB78BC" w:rsidRDefault="00DB78BC" w:rsidP="00DB7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511 </w:t>
      </w:r>
      <w:r w:rsidRPr="00CF0B83">
        <w:rPr>
          <w:rFonts w:ascii="Times New Roman" w:hAnsi="Times New Roman" w:cs="Times New Roman"/>
          <w:sz w:val="24"/>
          <w:szCs w:val="24"/>
          <w:lang w:val="sr-Latn-BA"/>
        </w:rPr>
        <w:t xml:space="preserve">367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остале опреме за образовање, науку, </w:t>
      </w:r>
    </w:p>
    <w:p w:rsidR="00DB78BC" w:rsidRPr="00DB3E10" w:rsidRDefault="00DB78BC" w:rsidP="00DB78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култу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ру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и спорт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                                         </w:t>
      </w:r>
      <w:r w:rsidR="00DB3E10"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200,85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KM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5113  Издаци за набавку постројења </w:t>
      </w:r>
    </w:p>
    <w:p w:rsidR="00DB78BC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опреме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</w:t>
      </w:r>
      <w:r w:rsidR="00DB3E1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18.925,35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DB78BC" w:rsidRPr="002D2984" w:rsidRDefault="00DB78BC" w:rsidP="00DB78BC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6381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Остали издаци из трансакција са 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:</w:t>
      </w:r>
    </w:p>
    <w:p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63811</w:t>
      </w: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1 Издаци за накнаде плата за </w:t>
      </w: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породиљско одуство који се </w:t>
      </w:r>
    </w:p>
    <w:p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             рефундирају од фонда обавезног социјалног осигурања               0,00 КМ</w:t>
      </w:r>
    </w:p>
    <w:p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6381</w:t>
      </w:r>
      <w:r w:rsidRP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Остали издаци из трансакција са </w:t>
      </w:r>
    </w:p>
    <w:p w:rsidR="00DB78BC" w:rsidRDefault="00DB78B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                                                                          0,00 КМ</w:t>
      </w:r>
    </w:p>
    <w:p w:rsidR="00DB78BC" w:rsidRDefault="002F4C2C" w:rsidP="00DB78BC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Укупно расходи (осим обрачунских) износе                                   267.987,24 КМ</w:t>
      </w:r>
    </w:p>
    <w:p w:rsidR="00291162" w:rsidRDefault="00DB78BC" w:rsidP="00FB1669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Укупни расходи (осим обрачунских) и издаци изн</w:t>
      </w:r>
      <w:r w:rsidR="002F4C2C"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осе                   286.912,59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КМ</w:t>
      </w:r>
    </w:p>
    <w:p w:rsidR="00FB1669" w:rsidRPr="00203A63" w:rsidRDefault="00FB1669" w:rsidP="00FB1669">
      <w:pPr>
        <w:spacing w:after="0"/>
        <w:ind w:firstLine="708"/>
        <w:jc w:val="both"/>
        <w:rPr>
          <w:rFonts w:cs="TimesNewRomanPS-BoldMT"/>
          <w:bCs/>
          <w:sz w:val="24"/>
          <w:szCs w:val="24"/>
          <w:lang w:val="en-US"/>
        </w:rPr>
      </w:pPr>
    </w:p>
    <w:p w:rsidR="00F812F9" w:rsidRDefault="00F812F9" w:rsidP="00F812F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D46A9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</w:p>
    <w:p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саставио:                                                  ЈУ СКУД „Семберија“ Бијељина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                                          __________________________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Тамара Бешлић                                                            Бранка Марковић Савчић</w:t>
      </w:r>
    </w:p>
    <w:p w:rsidR="00D46A96" w:rsidRDefault="00D46A96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2F4C2C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2F4C2C">
        <w:rPr>
          <w:rFonts w:ascii="Times New Roman" w:hAnsi="Times New Roman" w:cs="Times New Roman"/>
          <w:sz w:val="24"/>
          <w:szCs w:val="24"/>
          <w:lang w:val="sr-Cyrl-CS"/>
        </w:rPr>
        <w:t>/24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E2C8E" w:rsidRPr="009A0904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2F4C2C">
        <w:rPr>
          <w:rFonts w:ascii="Times New Roman" w:hAnsi="Times New Roman" w:cs="Times New Roman"/>
          <w:sz w:val="24"/>
          <w:szCs w:val="24"/>
          <w:lang w:val="sr-Cyrl-BA"/>
        </w:rPr>
        <w:t>08</w:t>
      </w:r>
      <w:r w:rsidR="002F4C2C">
        <w:rPr>
          <w:rFonts w:ascii="Times New Roman" w:hAnsi="Times New Roman" w:cs="Times New Roman"/>
          <w:sz w:val="24"/>
          <w:szCs w:val="24"/>
          <w:lang w:val="sr-Cyrl-CS"/>
        </w:rPr>
        <w:t>. 03. 2024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год.                                                          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</w:t>
      </w:r>
    </w:p>
    <w:p w:rsidR="00775AD4" w:rsidRPr="00D46A96" w:rsidRDefault="00EE2C8E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</w:p>
    <w:sectPr w:rsidR="00775AD4" w:rsidRPr="00D46A96" w:rsidSect="00DC411E">
      <w:headerReference w:type="default" r:id="rId7"/>
      <w:footerReference w:type="default" r:id="rId8"/>
      <w:headerReference w:type="first" r:id="rId9"/>
      <w:pgSz w:w="11906" w:h="16838"/>
      <w:pgMar w:top="1134" w:right="127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B0" w:rsidRDefault="00C538B0" w:rsidP="00EE2C8E">
      <w:pPr>
        <w:spacing w:after="0" w:line="240" w:lineRule="auto"/>
      </w:pPr>
      <w:r>
        <w:separator/>
      </w:r>
    </w:p>
  </w:endnote>
  <w:endnote w:type="continuationSeparator" w:id="0">
    <w:p w:rsidR="00C538B0" w:rsidRDefault="00C538B0" w:rsidP="00EE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8542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69E2" w:rsidRDefault="000669E2">
        <w:pPr>
          <w:pStyle w:val="Footer"/>
          <w:jc w:val="center"/>
        </w:pPr>
        <w:r>
          <w:fldChar w:fldCharType="begin"/>
        </w:r>
        <w:r w:rsidR="00E82737">
          <w:instrText xml:space="preserve"> PAGE   \* MERGEFORMAT </w:instrText>
        </w:r>
        <w:r>
          <w:fldChar w:fldCharType="separate"/>
        </w:r>
        <w:r w:rsidR="008964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69E2" w:rsidRDefault="000669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B0" w:rsidRDefault="00C538B0" w:rsidP="00EE2C8E">
      <w:pPr>
        <w:spacing w:after="0" w:line="240" w:lineRule="auto"/>
      </w:pPr>
      <w:r>
        <w:separator/>
      </w:r>
    </w:p>
  </w:footnote>
  <w:footnote w:type="continuationSeparator" w:id="0">
    <w:p w:rsidR="00C538B0" w:rsidRDefault="00C538B0" w:rsidP="00EE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669E2" w:rsidRDefault="00EE2C8E" w:rsidP="000D4CF3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Напомене уз финансијски извјештај</w:t>
        </w:r>
        <w:r w:rsidR="00E439A0"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 xml:space="preserve"> за период 01. 01 – 31. 12. 2023</w:t>
        </w: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. године</w:t>
        </w:r>
      </w:p>
    </w:sdtContent>
  </w:sdt>
  <w:p w:rsidR="000669E2" w:rsidRDefault="000669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9E2" w:rsidRDefault="00E82737">
    <w:pPr>
      <w:pStyle w:val="Header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E5834"/>
    <w:multiLevelType w:val="multilevel"/>
    <w:tmpl w:val="B4329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6F3A4A79"/>
    <w:multiLevelType w:val="hybridMultilevel"/>
    <w:tmpl w:val="A2285C60"/>
    <w:lvl w:ilvl="0" w:tplc="EB7CB216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5A4"/>
    <w:rsid w:val="0000395E"/>
    <w:rsid w:val="000060F4"/>
    <w:rsid w:val="000126DD"/>
    <w:rsid w:val="0001338F"/>
    <w:rsid w:val="00013D78"/>
    <w:rsid w:val="0001767E"/>
    <w:rsid w:val="00023107"/>
    <w:rsid w:val="00030465"/>
    <w:rsid w:val="0003090F"/>
    <w:rsid w:val="00034DCD"/>
    <w:rsid w:val="00042E1F"/>
    <w:rsid w:val="00045874"/>
    <w:rsid w:val="0005093B"/>
    <w:rsid w:val="000510A4"/>
    <w:rsid w:val="00053021"/>
    <w:rsid w:val="00055108"/>
    <w:rsid w:val="000608AE"/>
    <w:rsid w:val="00061DDC"/>
    <w:rsid w:val="00063FA3"/>
    <w:rsid w:val="000669E2"/>
    <w:rsid w:val="000756A7"/>
    <w:rsid w:val="00081D7F"/>
    <w:rsid w:val="00082F96"/>
    <w:rsid w:val="000833CE"/>
    <w:rsid w:val="00085C0D"/>
    <w:rsid w:val="000873B3"/>
    <w:rsid w:val="000A04D9"/>
    <w:rsid w:val="000A3AD5"/>
    <w:rsid w:val="000A4103"/>
    <w:rsid w:val="000B6010"/>
    <w:rsid w:val="000C2EA9"/>
    <w:rsid w:val="000C4251"/>
    <w:rsid w:val="000C5761"/>
    <w:rsid w:val="000C5EDC"/>
    <w:rsid w:val="000C668B"/>
    <w:rsid w:val="000D0F7F"/>
    <w:rsid w:val="000D155D"/>
    <w:rsid w:val="000D2798"/>
    <w:rsid w:val="000D4905"/>
    <w:rsid w:val="000D576C"/>
    <w:rsid w:val="000D59BB"/>
    <w:rsid w:val="000D5C73"/>
    <w:rsid w:val="000E126F"/>
    <w:rsid w:val="000E26E9"/>
    <w:rsid w:val="001018C5"/>
    <w:rsid w:val="00103DE2"/>
    <w:rsid w:val="00107C8A"/>
    <w:rsid w:val="0011164C"/>
    <w:rsid w:val="00113508"/>
    <w:rsid w:val="001157CB"/>
    <w:rsid w:val="00115D82"/>
    <w:rsid w:val="00117A89"/>
    <w:rsid w:val="00126608"/>
    <w:rsid w:val="00132B02"/>
    <w:rsid w:val="00135330"/>
    <w:rsid w:val="00135351"/>
    <w:rsid w:val="00135A3B"/>
    <w:rsid w:val="00137EB9"/>
    <w:rsid w:val="00137F48"/>
    <w:rsid w:val="00150BC3"/>
    <w:rsid w:val="00157BC3"/>
    <w:rsid w:val="00165546"/>
    <w:rsid w:val="001745B4"/>
    <w:rsid w:val="00174B1B"/>
    <w:rsid w:val="0017738B"/>
    <w:rsid w:val="00192416"/>
    <w:rsid w:val="00192CA0"/>
    <w:rsid w:val="001937E4"/>
    <w:rsid w:val="00195DCD"/>
    <w:rsid w:val="00197472"/>
    <w:rsid w:val="001A05CC"/>
    <w:rsid w:val="001A6897"/>
    <w:rsid w:val="001B4300"/>
    <w:rsid w:val="001B799D"/>
    <w:rsid w:val="001C57D8"/>
    <w:rsid w:val="001C6D49"/>
    <w:rsid w:val="001C6D67"/>
    <w:rsid w:val="001D159B"/>
    <w:rsid w:val="001F1081"/>
    <w:rsid w:val="001F4BBA"/>
    <w:rsid w:val="001F7AA0"/>
    <w:rsid w:val="002015E1"/>
    <w:rsid w:val="00203014"/>
    <w:rsid w:val="00203953"/>
    <w:rsid w:val="00203A63"/>
    <w:rsid w:val="002212F1"/>
    <w:rsid w:val="00222801"/>
    <w:rsid w:val="00233796"/>
    <w:rsid w:val="002401A1"/>
    <w:rsid w:val="00244CA8"/>
    <w:rsid w:val="002473FD"/>
    <w:rsid w:val="00256A9B"/>
    <w:rsid w:val="002572E3"/>
    <w:rsid w:val="002579CB"/>
    <w:rsid w:val="00263145"/>
    <w:rsid w:val="002657E3"/>
    <w:rsid w:val="00272CE1"/>
    <w:rsid w:val="002736E5"/>
    <w:rsid w:val="0028156E"/>
    <w:rsid w:val="0028276A"/>
    <w:rsid w:val="00286B04"/>
    <w:rsid w:val="00287B34"/>
    <w:rsid w:val="00291162"/>
    <w:rsid w:val="002A062C"/>
    <w:rsid w:val="002A7A29"/>
    <w:rsid w:val="002B0C21"/>
    <w:rsid w:val="002B1625"/>
    <w:rsid w:val="002C176C"/>
    <w:rsid w:val="002C4D14"/>
    <w:rsid w:val="002C4F54"/>
    <w:rsid w:val="002E06D7"/>
    <w:rsid w:val="002E0728"/>
    <w:rsid w:val="002E1478"/>
    <w:rsid w:val="002E1CCA"/>
    <w:rsid w:val="002E750E"/>
    <w:rsid w:val="002F280C"/>
    <w:rsid w:val="002F47A4"/>
    <w:rsid w:val="002F4C2C"/>
    <w:rsid w:val="00310133"/>
    <w:rsid w:val="00310C2C"/>
    <w:rsid w:val="00311B63"/>
    <w:rsid w:val="003168A9"/>
    <w:rsid w:val="00320405"/>
    <w:rsid w:val="0032741F"/>
    <w:rsid w:val="00335F66"/>
    <w:rsid w:val="00340981"/>
    <w:rsid w:val="0035453A"/>
    <w:rsid w:val="003578E2"/>
    <w:rsid w:val="003631A2"/>
    <w:rsid w:val="00363A68"/>
    <w:rsid w:val="00367892"/>
    <w:rsid w:val="00367F1B"/>
    <w:rsid w:val="00372462"/>
    <w:rsid w:val="00374B37"/>
    <w:rsid w:val="00375C70"/>
    <w:rsid w:val="003908AD"/>
    <w:rsid w:val="00393D89"/>
    <w:rsid w:val="00394194"/>
    <w:rsid w:val="003956A8"/>
    <w:rsid w:val="003A0443"/>
    <w:rsid w:val="003A3106"/>
    <w:rsid w:val="003B4820"/>
    <w:rsid w:val="003B5294"/>
    <w:rsid w:val="003C5041"/>
    <w:rsid w:val="003D008F"/>
    <w:rsid w:val="003D0DDA"/>
    <w:rsid w:val="003D1591"/>
    <w:rsid w:val="003D1897"/>
    <w:rsid w:val="003D693C"/>
    <w:rsid w:val="003E15C8"/>
    <w:rsid w:val="003E1D71"/>
    <w:rsid w:val="003E6E16"/>
    <w:rsid w:val="003F2228"/>
    <w:rsid w:val="003F4E05"/>
    <w:rsid w:val="004068C4"/>
    <w:rsid w:val="00416DD0"/>
    <w:rsid w:val="00427960"/>
    <w:rsid w:val="0043660C"/>
    <w:rsid w:val="004371A3"/>
    <w:rsid w:val="00445CC7"/>
    <w:rsid w:val="00455242"/>
    <w:rsid w:val="00455DE4"/>
    <w:rsid w:val="00455FDF"/>
    <w:rsid w:val="0046703D"/>
    <w:rsid w:val="00474AB1"/>
    <w:rsid w:val="004765F8"/>
    <w:rsid w:val="00481F98"/>
    <w:rsid w:val="004826B3"/>
    <w:rsid w:val="004834BE"/>
    <w:rsid w:val="00492078"/>
    <w:rsid w:val="004939D1"/>
    <w:rsid w:val="00496673"/>
    <w:rsid w:val="0049735D"/>
    <w:rsid w:val="004A0009"/>
    <w:rsid w:val="004A43CA"/>
    <w:rsid w:val="004A48D5"/>
    <w:rsid w:val="004A5580"/>
    <w:rsid w:val="004A5F7E"/>
    <w:rsid w:val="004B33AB"/>
    <w:rsid w:val="004B7210"/>
    <w:rsid w:val="004C7E8C"/>
    <w:rsid w:val="004D35B0"/>
    <w:rsid w:val="004E010E"/>
    <w:rsid w:val="004E5FBE"/>
    <w:rsid w:val="004E5FF8"/>
    <w:rsid w:val="004F12B3"/>
    <w:rsid w:val="004F2ED5"/>
    <w:rsid w:val="004F2FCB"/>
    <w:rsid w:val="004F3109"/>
    <w:rsid w:val="004F596C"/>
    <w:rsid w:val="004F6614"/>
    <w:rsid w:val="00503282"/>
    <w:rsid w:val="0050745D"/>
    <w:rsid w:val="0051063E"/>
    <w:rsid w:val="0051205D"/>
    <w:rsid w:val="0051209D"/>
    <w:rsid w:val="00515EE4"/>
    <w:rsid w:val="00521B88"/>
    <w:rsid w:val="00522940"/>
    <w:rsid w:val="00525E07"/>
    <w:rsid w:val="005272C2"/>
    <w:rsid w:val="00530CCB"/>
    <w:rsid w:val="005372C8"/>
    <w:rsid w:val="00545452"/>
    <w:rsid w:val="00545A54"/>
    <w:rsid w:val="00545B77"/>
    <w:rsid w:val="0055420D"/>
    <w:rsid w:val="00563796"/>
    <w:rsid w:val="00565670"/>
    <w:rsid w:val="005662BB"/>
    <w:rsid w:val="005719C8"/>
    <w:rsid w:val="0057541E"/>
    <w:rsid w:val="00575C95"/>
    <w:rsid w:val="005768FF"/>
    <w:rsid w:val="00580414"/>
    <w:rsid w:val="00586890"/>
    <w:rsid w:val="00586F81"/>
    <w:rsid w:val="00592626"/>
    <w:rsid w:val="005A1D91"/>
    <w:rsid w:val="005A3AEA"/>
    <w:rsid w:val="005A475B"/>
    <w:rsid w:val="005B6A0D"/>
    <w:rsid w:val="005C036B"/>
    <w:rsid w:val="005C2330"/>
    <w:rsid w:val="005C6B04"/>
    <w:rsid w:val="005D0AC3"/>
    <w:rsid w:val="005D1E2A"/>
    <w:rsid w:val="005D562F"/>
    <w:rsid w:val="005D655B"/>
    <w:rsid w:val="005D6719"/>
    <w:rsid w:val="005D6EE4"/>
    <w:rsid w:val="005E0CC3"/>
    <w:rsid w:val="005E15F3"/>
    <w:rsid w:val="005E53E7"/>
    <w:rsid w:val="005E78FA"/>
    <w:rsid w:val="005F0F90"/>
    <w:rsid w:val="005F1561"/>
    <w:rsid w:val="005F712D"/>
    <w:rsid w:val="00601CD4"/>
    <w:rsid w:val="00611E29"/>
    <w:rsid w:val="0061722A"/>
    <w:rsid w:val="0063657A"/>
    <w:rsid w:val="006525A4"/>
    <w:rsid w:val="00654F18"/>
    <w:rsid w:val="00660DBE"/>
    <w:rsid w:val="006649B7"/>
    <w:rsid w:val="00665F14"/>
    <w:rsid w:val="00666BE2"/>
    <w:rsid w:val="0066741D"/>
    <w:rsid w:val="00676D06"/>
    <w:rsid w:val="00686ADB"/>
    <w:rsid w:val="00686C84"/>
    <w:rsid w:val="00693F7D"/>
    <w:rsid w:val="0069652F"/>
    <w:rsid w:val="006A036A"/>
    <w:rsid w:val="006A392E"/>
    <w:rsid w:val="006B132E"/>
    <w:rsid w:val="006B66C3"/>
    <w:rsid w:val="006B7AFC"/>
    <w:rsid w:val="006C0D8F"/>
    <w:rsid w:val="006C7E37"/>
    <w:rsid w:val="006D34A1"/>
    <w:rsid w:val="006D4000"/>
    <w:rsid w:val="006D5A9C"/>
    <w:rsid w:val="006E3B5D"/>
    <w:rsid w:val="006E49EE"/>
    <w:rsid w:val="006F1848"/>
    <w:rsid w:val="006F27D9"/>
    <w:rsid w:val="00704FE7"/>
    <w:rsid w:val="00707E11"/>
    <w:rsid w:val="007104C5"/>
    <w:rsid w:val="00715C2C"/>
    <w:rsid w:val="00734E5F"/>
    <w:rsid w:val="0073732E"/>
    <w:rsid w:val="00737899"/>
    <w:rsid w:val="007403F7"/>
    <w:rsid w:val="007403FE"/>
    <w:rsid w:val="007442B1"/>
    <w:rsid w:val="00744918"/>
    <w:rsid w:val="00744DFE"/>
    <w:rsid w:val="0074605F"/>
    <w:rsid w:val="007470CC"/>
    <w:rsid w:val="00751B71"/>
    <w:rsid w:val="00753754"/>
    <w:rsid w:val="00753C87"/>
    <w:rsid w:val="00755A6F"/>
    <w:rsid w:val="00762653"/>
    <w:rsid w:val="0077327C"/>
    <w:rsid w:val="00774D03"/>
    <w:rsid w:val="00775AD4"/>
    <w:rsid w:val="007819CF"/>
    <w:rsid w:val="00785B2B"/>
    <w:rsid w:val="00787CDD"/>
    <w:rsid w:val="00792189"/>
    <w:rsid w:val="007A74E2"/>
    <w:rsid w:val="007B363C"/>
    <w:rsid w:val="007B5C33"/>
    <w:rsid w:val="007B66D5"/>
    <w:rsid w:val="007C2515"/>
    <w:rsid w:val="007D53BE"/>
    <w:rsid w:val="007E11FE"/>
    <w:rsid w:val="007E541F"/>
    <w:rsid w:val="007F6351"/>
    <w:rsid w:val="008009A3"/>
    <w:rsid w:val="00801E2F"/>
    <w:rsid w:val="0080624E"/>
    <w:rsid w:val="00810426"/>
    <w:rsid w:val="00816CE4"/>
    <w:rsid w:val="0082336E"/>
    <w:rsid w:val="00826515"/>
    <w:rsid w:val="00832E71"/>
    <w:rsid w:val="008340B3"/>
    <w:rsid w:val="008406BB"/>
    <w:rsid w:val="008428D5"/>
    <w:rsid w:val="00851B8B"/>
    <w:rsid w:val="008530EB"/>
    <w:rsid w:val="0085655A"/>
    <w:rsid w:val="00857C1E"/>
    <w:rsid w:val="00860EB0"/>
    <w:rsid w:val="00864F30"/>
    <w:rsid w:val="0087175C"/>
    <w:rsid w:val="008762A7"/>
    <w:rsid w:val="00881331"/>
    <w:rsid w:val="00885663"/>
    <w:rsid w:val="008856E7"/>
    <w:rsid w:val="00892C98"/>
    <w:rsid w:val="0089353D"/>
    <w:rsid w:val="008940AD"/>
    <w:rsid w:val="008964B7"/>
    <w:rsid w:val="0089750E"/>
    <w:rsid w:val="0089797E"/>
    <w:rsid w:val="00897B56"/>
    <w:rsid w:val="008A1B3C"/>
    <w:rsid w:val="008A1C78"/>
    <w:rsid w:val="008A51B3"/>
    <w:rsid w:val="008A530A"/>
    <w:rsid w:val="008B1BA4"/>
    <w:rsid w:val="008C1486"/>
    <w:rsid w:val="008C2E0D"/>
    <w:rsid w:val="008C3E20"/>
    <w:rsid w:val="008D04D3"/>
    <w:rsid w:val="008D43D4"/>
    <w:rsid w:val="009022AE"/>
    <w:rsid w:val="00911DB7"/>
    <w:rsid w:val="00914B43"/>
    <w:rsid w:val="00914FCA"/>
    <w:rsid w:val="009206D0"/>
    <w:rsid w:val="0092272F"/>
    <w:rsid w:val="00924606"/>
    <w:rsid w:val="0092760C"/>
    <w:rsid w:val="00932C01"/>
    <w:rsid w:val="00932F4A"/>
    <w:rsid w:val="00940A38"/>
    <w:rsid w:val="00943EC2"/>
    <w:rsid w:val="0094406F"/>
    <w:rsid w:val="00944425"/>
    <w:rsid w:val="0094595D"/>
    <w:rsid w:val="00946F04"/>
    <w:rsid w:val="00952615"/>
    <w:rsid w:val="00957ADD"/>
    <w:rsid w:val="0096029E"/>
    <w:rsid w:val="00964750"/>
    <w:rsid w:val="00965841"/>
    <w:rsid w:val="00965F4D"/>
    <w:rsid w:val="00970792"/>
    <w:rsid w:val="00972C48"/>
    <w:rsid w:val="00975871"/>
    <w:rsid w:val="00986B0D"/>
    <w:rsid w:val="009910DC"/>
    <w:rsid w:val="00991C68"/>
    <w:rsid w:val="00992FF9"/>
    <w:rsid w:val="009A2826"/>
    <w:rsid w:val="009A7BC1"/>
    <w:rsid w:val="009B03EE"/>
    <w:rsid w:val="009B090F"/>
    <w:rsid w:val="009B5988"/>
    <w:rsid w:val="009C19A0"/>
    <w:rsid w:val="009C386D"/>
    <w:rsid w:val="009C4121"/>
    <w:rsid w:val="009C6CCF"/>
    <w:rsid w:val="009D234F"/>
    <w:rsid w:val="009D41DE"/>
    <w:rsid w:val="009D4662"/>
    <w:rsid w:val="009E0877"/>
    <w:rsid w:val="009E3D9A"/>
    <w:rsid w:val="009E5EB1"/>
    <w:rsid w:val="009E6704"/>
    <w:rsid w:val="009F0088"/>
    <w:rsid w:val="009F3AC1"/>
    <w:rsid w:val="009F4353"/>
    <w:rsid w:val="009F6687"/>
    <w:rsid w:val="00A0663D"/>
    <w:rsid w:val="00A072A7"/>
    <w:rsid w:val="00A13B6E"/>
    <w:rsid w:val="00A20F9B"/>
    <w:rsid w:val="00A22733"/>
    <w:rsid w:val="00A300C7"/>
    <w:rsid w:val="00A31F02"/>
    <w:rsid w:val="00A36BB5"/>
    <w:rsid w:val="00A4241D"/>
    <w:rsid w:val="00A43BF3"/>
    <w:rsid w:val="00A43D1F"/>
    <w:rsid w:val="00A4641D"/>
    <w:rsid w:val="00A516B9"/>
    <w:rsid w:val="00A54FF1"/>
    <w:rsid w:val="00A67325"/>
    <w:rsid w:val="00A73669"/>
    <w:rsid w:val="00A8172D"/>
    <w:rsid w:val="00A84A67"/>
    <w:rsid w:val="00A91BA9"/>
    <w:rsid w:val="00A94556"/>
    <w:rsid w:val="00A94666"/>
    <w:rsid w:val="00A972F8"/>
    <w:rsid w:val="00AA2D2C"/>
    <w:rsid w:val="00AB53A7"/>
    <w:rsid w:val="00AC12E8"/>
    <w:rsid w:val="00AD38BB"/>
    <w:rsid w:val="00AD5F16"/>
    <w:rsid w:val="00AD5FAA"/>
    <w:rsid w:val="00AF1EAD"/>
    <w:rsid w:val="00AF5F0C"/>
    <w:rsid w:val="00AF6729"/>
    <w:rsid w:val="00B01653"/>
    <w:rsid w:val="00B019CE"/>
    <w:rsid w:val="00B033A3"/>
    <w:rsid w:val="00B04DD4"/>
    <w:rsid w:val="00B05484"/>
    <w:rsid w:val="00B1584C"/>
    <w:rsid w:val="00B26565"/>
    <w:rsid w:val="00B32BD5"/>
    <w:rsid w:val="00B35395"/>
    <w:rsid w:val="00B37AD5"/>
    <w:rsid w:val="00B4025D"/>
    <w:rsid w:val="00B50833"/>
    <w:rsid w:val="00B54339"/>
    <w:rsid w:val="00B616AA"/>
    <w:rsid w:val="00B63FB5"/>
    <w:rsid w:val="00B72B44"/>
    <w:rsid w:val="00B828F0"/>
    <w:rsid w:val="00B84179"/>
    <w:rsid w:val="00B84739"/>
    <w:rsid w:val="00B916A7"/>
    <w:rsid w:val="00B917E0"/>
    <w:rsid w:val="00B91D06"/>
    <w:rsid w:val="00B94548"/>
    <w:rsid w:val="00BA4B57"/>
    <w:rsid w:val="00BA6ADB"/>
    <w:rsid w:val="00BB0F8D"/>
    <w:rsid w:val="00BB2018"/>
    <w:rsid w:val="00BB2091"/>
    <w:rsid w:val="00BB762E"/>
    <w:rsid w:val="00BC0737"/>
    <w:rsid w:val="00BC29FB"/>
    <w:rsid w:val="00BC2FBD"/>
    <w:rsid w:val="00BC5691"/>
    <w:rsid w:val="00BC70E9"/>
    <w:rsid w:val="00BD4A6A"/>
    <w:rsid w:val="00BD6AB8"/>
    <w:rsid w:val="00BE026D"/>
    <w:rsid w:val="00BE07B9"/>
    <w:rsid w:val="00BE2896"/>
    <w:rsid w:val="00BE4EEF"/>
    <w:rsid w:val="00BE6E89"/>
    <w:rsid w:val="00BF14BC"/>
    <w:rsid w:val="00BF1609"/>
    <w:rsid w:val="00BF23D0"/>
    <w:rsid w:val="00C00C7D"/>
    <w:rsid w:val="00C043C8"/>
    <w:rsid w:val="00C055F9"/>
    <w:rsid w:val="00C10FB8"/>
    <w:rsid w:val="00C12991"/>
    <w:rsid w:val="00C20EC5"/>
    <w:rsid w:val="00C31D26"/>
    <w:rsid w:val="00C34CDF"/>
    <w:rsid w:val="00C34F42"/>
    <w:rsid w:val="00C36A71"/>
    <w:rsid w:val="00C37CAF"/>
    <w:rsid w:val="00C41AA6"/>
    <w:rsid w:val="00C437D0"/>
    <w:rsid w:val="00C51A2F"/>
    <w:rsid w:val="00C52FDD"/>
    <w:rsid w:val="00C5368E"/>
    <w:rsid w:val="00C538B0"/>
    <w:rsid w:val="00C622D9"/>
    <w:rsid w:val="00C64A74"/>
    <w:rsid w:val="00C66A3C"/>
    <w:rsid w:val="00C66ACD"/>
    <w:rsid w:val="00C74DEA"/>
    <w:rsid w:val="00C74E60"/>
    <w:rsid w:val="00C7644F"/>
    <w:rsid w:val="00C769B6"/>
    <w:rsid w:val="00C77F45"/>
    <w:rsid w:val="00C91AF3"/>
    <w:rsid w:val="00CB3AD0"/>
    <w:rsid w:val="00CB7355"/>
    <w:rsid w:val="00CC13AB"/>
    <w:rsid w:val="00CD1450"/>
    <w:rsid w:val="00CD3528"/>
    <w:rsid w:val="00CD526E"/>
    <w:rsid w:val="00CE37D8"/>
    <w:rsid w:val="00CE7319"/>
    <w:rsid w:val="00CE7D8F"/>
    <w:rsid w:val="00D01A4C"/>
    <w:rsid w:val="00D01DBB"/>
    <w:rsid w:val="00D0649A"/>
    <w:rsid w:val="00D06EB6"/>
    <w:rsid w:val="00D12C7F"/>
    <w:rsid w:val="00D135B0"/>
    <w:rsid w:val="00D1691C"/>
    <w:rsid w:val="00D21002"/>
    <w:rsid w:val="00D2357C"/>
    <w:rsid w:val="00D27EFA"/>
    <w:rsid w:val="00D328EC"/>
    <w:rsid w:val="00D42B04"/>
    <w:rsid w:val="00D460B6"/>
    <w:rsid w:val="00D46A96"/>
    <w:rsid w:val="00D55C38"/>
    <w:rsid w:val="00D652D7"/>
    <w:rsid w:val="00D657DA"/>
    <w:rsid w:val="00D66604"/>
    <w:rsid w:val="00D7086C"/>
    <w:rsid w:val="00D77D8B"/>
    <w:rsid w:val="00D811F5"/>
    <w:rsid w:val="00D8140B"/>
    <w:rsid w:val="00D82463"/>
    <w:rsid w:val="00D83980"/>
    <w:rsid w:val="00D843F7"/>
    <w:rsid w:val="00D917EA"/>
    <w:rsid w:val="00D91EC5"/>
    <w:rsid w:val="00D93E82"/>
    <w:rsid w:val="00DA09C8"/>
    <w:rsid w:val="00DA1B60"/>
    <w:rsid w:val="00DB05EF"/>
    <w:rsid w:val="00DB24B4"/>
    <w:rsid w:val="00DB3E10"/>
    <w:rsid w:val="00DB5928"/>
    <w:rsid w:val="00DB78BC"/>
    <w:rsid w:val="00DC1407"/>
    <w:rsid w:val="00DC411E"/>
    <w:rsid w:val="00DD4D9D"/>
    <w:rsid w:val="00DD59B9"/>
    <w:rsid w:val="00DE10B7"/>
    <w:rsid w:val="00DE21EB"/>
    <w:rsid w:val="00DE4C72"/>
    <w:rsid w:val="00DF426E"/>
    <w:rsid w:val="00E00879"/>
    <w:rsid w:val="00E033AE"/>
    <w:rsid w:val="00E055AD"/>
    <w:rsid w:val="00E07C6E"/>
    <w:rsid w:val="00E12244"/>
    <w:rsid w:val="00E12957"/>
    <w:rsid w:val="00E153BC"/>
    <w:rsid w:val="00E15728"/>
    <w:rsid w:val="00E2064C"/>
    <w:rsid w:val="00E24DD1"/>
    <w:rsid w:val="00E25012"/>
    <w:rsid w:val="00E25131"/>
    <w:rsid w:val="00E26822"/>
    <w:rsid w:val="00E3233F"/>
    <w:rsid w:val="00E34D9C"/>
    <w:rsid w:val="00E367BE"/>
    <w:rsid w:val="00E369C5"/>
    <w:rsid w:val="00E37F4B"/>
    <w:rsid w:val="00E439A0"/>
    <w:rsid w:val="00E47494"/>
    <w:rsid w:val="00E5222E"/>
    <w:rsid w:val="00E57537"/>
    <w:rsid w:val="00E6607E"/>
    <w:rsid w:val="00E72407"/>
    <w:rsid w:val="00E80663"/>
    <w:rsid w:val="00E80FF9"/>
    <w:rsid w:val="00E82737"/>
    <w:rsid w:val="00E8285A"/>
    <w:rsid w:val="00E94F8B"/>
    <w:rsid w:val="00E973CB"/>
    <w:rsid w:val="00EA12B2"/>
    <w:rsid w:val="00EA7C38"/>
    <w:rsid w:val="00EB3449"/>
    <w:rsid w:val="00EC20A4"/>
    <w:rsid w:val="00EC4742"/>
    <w:rsid w:val="00EC494C"/>
    <w:rsid w:val="00EC578D"/>
    <w:rsid w:val="00ED1AEB"/>
    <w:rsid w:val="00ED7A40"/>
    <w:rsid w:val="00EE061D"/>
    <w:rsid w:val="00EE2C8E"/>
    <w:rsid w:val="00EF288F"/>
    <w:rsid w:val="00EF43DA"/>
    <w:rsid w:val="00EF4545"/>
    <w:rsid w:val="00F112F7"/>
    <w:rsid w:val="00F27D9E"/>
    <w:rsid w:val="00F3092D"/>
    <w:rsid w:val="00F30BB5"/>
    <w:rsid w:val="00F31795"/>
    <w:rsid w:val="00F3185A"/>
    <w:rsid w:val="00F31E65"/>
    <w:rsid w:val="00F376B2"/>
    <w:rsid w:val="00F4037F"/>
    <w:rsid w:val="00F52C9B"/>
    <w:rsid w:val="00F56813"/>
    <w:rsid w:val="00F73802"/>
    <w:rsid w:val="00F812F9"/>
    <w:rsid w:val="00F8399D"/>
    <w:rsid w:val="00F85DD1"/>
    <w:rsid w:val="00F87FBE"/>
    <w:rsid w:val="00F9198E"/>
    <w:rsid w:val="00F95CD2"/>
    <w:rsid w:val="00FB14D8"/>
    <w:rsid w:val="00FB1669"/>
    <w:rsid w:val="00FB24CF"/>
    <w:rsid w:val="00FB2EDE"/>
    <w:rsid w:val="00FB3764"/>
    <w:rsid w:val="00FC0C5D"/>
    <w:rsid w:val="00FC79E8"/>
    <w:rsid w:val="00FC7D88"/>
    <w:rsid w:val="00FC7ED7"/>
    <w:rsid w:val="00FD1A60"/>
    <w:rsid w:val="00FE0B26"/>
    <w:rsid w:val="00FE23A6"/>
    <w:rsid w:val="00FF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8E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8E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8E"/>
    <w:rPr>
      <w:lang w:val="sr-Latn-CS"/>
    </w:rPr>
  </w:style>
  <w:style w:type="paragraph" w:styleId="ListParagraph">
    <w:name w:val="List Paragraph"/>
    <w:basedOn w:val="Normal"/>
    <w:uiPriority w:val="34"/>
    <w:qFormat/>
    <w:rsid w:val="00EE2C8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EE2C8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8E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2848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Напомене уз финансијски извјештај за период 01. 01 – 31. 12. 2022. године</vt:lpstr>
    </vt:vector>
  </TitlesOfParts>
  <Company>Hewlett-Packard Company</Company>
  <LinksUpToDate>false</LinksUpToDate>
  <CharactersWithSpaces>19044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Напомене уз финансијски извјештај за период 01. 01 – 31. 12. 2023. године</dc:title>
  <dc:creator>Freeware Sys</dc:creator>
  <cp:lastModifiedBy>mira.ristic</cp:lastModifiedBy>
  <cp:revision>2</cp:revision>
  <cp:lastPrinted>2024-03-10T21:49:00Z</cp:lastPrinted>
  <dcterms:created xsi:type="dcterms:W3CDTF">2024-03-22T12:32:00Z</dcterms:created>
  <dcterms:modified xsi:type="dcterms:W3CDTF">2024-03-22T12:32:00Z</dcterms:modified>
</cp:coreProperties>
</file>