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FFE" w:rsidRDefault="00AF6FFE" w:rsidP="00AF6FFE">
      <w:pPr>
        <w:jc w:val="both"/>
        <w:rPr>
          <w:b/>
          <w:lang w:val="sr-Cyrl-CS"/>
        </w:rPr>
      </w:pPr>
      <w:r w:rsidRPr="008C7165">
        <w:rPr>
          <w:b/>
          <w:lang w:val="sr-Cyrl-CS"/>
        </w:rPr>
        <w:t>ЈП „ДИРЕКЦИЈА ЗА ИЗГРАДЊУ И РАЗВОЈ ГРАДА“</w:t>
      </w:r>
      <w:r>
        <w:rPr>
          <w:b/>
          <w:lang w:val="sr-Cyrl-CS"/>
        </w:rPr>
        <w:t xml:space="preserve"> д.о.о.</w:t>
      </w:r>
    </w:p>
    <w:p w:rsidR="00AF6FFE" w:rsidRPr="008C7165" w:rsidRDefault="00AF6FFE" w:rsidP="00AF6FFE">
      <w:pPr>
        <w:jc w:val="both"/>
        <w:rPr>
          <w:b/>
          <w:lang w:val="sr-Cyrl-CS"/>
        </w:rPr>
      </w:pPr>
      <w:r w:rsidRPr="008C7165">
        <w:rPr>
          <w:b/>
          <w:lang w:val="sr-Cyrl-CS"/>
        </w:rPr>
        <w:t>Б И Ј Е Љ И Н А</w:t>
      </w:r>
    </w:p>
    <w:p w:rsidR="00AF6FFE" w:rsidRPr="001F17B9" w:rsidRDefault="00AF6FFE" w:rsidP="00AF6FFE">
      <w:pPr>
        <w:jc w:val="both"/>
      </w:pPr>
      <w:r>
        <w:rPr>
          <w:lang w:val="sr-Cyrl-CS"/>
        </w:rPr>
        <w:t xml:space="preserve">Број:  </w:t>
      </w:r>
      <w:r>
        <w:rPr>
          <w:lang w:val="sr-Latn-BA"/>
        </w:rPr>
        <w:t>И</w:t>
      </w:r>
      <w:r w:rsidR="002D63C7">
        <w:rPr>
          <w:lang w:val="sr-Latn-BA"/>
        </w:rPr>
        <w:t>-199/19</w:t>
      </w:r>
    </w:p>
    <w:p w:rsidR="00AF6FFE" w:rsidRPr="005A31DE" w:rsidRDefault="00AF6FFE" w:rsidP="00AF6FFE">
      <w:pPr>
        <w:jc w:val="both"/>
        <w:rPr>
          <w:lang w:val="sr-Latn-BA"/>
        </w:rPr>
      </w:pPr>
      <w:r>
        <w:rPr>
          <w:lang w:val="sr-Cyrl-CS"/>
        </w:rPr>
        <w:t>Датум:</w:t>
      </w:r>
      <w:r w:rsidR="002D63C7">
        <w:rPr>
          <w:lang w:val="sr-Latn-BA"/>
        </w:rPr>
        <w:t>11.04.</w:t>
      </w:r>
      <w:r w:rsidR="002B7E47">
        <w:t>201</w:t>
      </w:r>
      <w:r w:rsidR="002B7E47">
        <w:rPr>
          <w:lang w:val="sr-Cyrl-BA"/>
        </w:rPr>
        <w:t>9</w:t>
      </w:r>
      <w:r>
        <w:rPr>
          <w:lang w:val="sr-Cyrl-BA"/>
        </w:rPr>
        <w:t>. године</w:t>
      </w:r>
    </w:p>
    <w:p w:rsidR="00AF6FFE" w:rsidRPr="00403879" w:rsidRDefault="00AF6FFE" w:rsidP="00AF6FFE">
      <w:pPr>
        <w:rPr>
          <w:b/>
          <w:bCs/>
          <w:sz w:val="28"/>
          <w:lang w:val="sr-Cyrl-CS"/>
        </w:rPr>
      </w:pPr>
    </w:p>
    <w:p w:rsidR="00AF6FFE" w:rsidRPr="006828F0" w:rsidRDefault="00AF6FFE" w:rsidP="00AF6FFE">
      <w:pPr>
        <w:rPr>
          <w:b/>
          <w:bCs/>
          <w:sz w:val="28"/>
          <w:lang w:val="sr-Latn-CS"/>
        </w:rPr>
      </w:pPr>
    </w:p>
    <w:p w:rsidR="00AF6FFE" w:rsidRPr="002C0F44" w:rsidRDefault="00AF6FFE" w:rsidP="00AF6FFE">
      <w:pPr>
        <w:jc w:val="center"/>
        <w:rPr>
          <w:b/>
          <w:bCs/>
          <w:lang w:val="sr-Cyrl-CS"/>
        </w:rPr>
      </w:pPr>
      <w:r w:rsidRPr="002C0F44">
        <w:rPr>
          <w:b/>
          <w:bCs/>
          <w:lang w:val="sr-Cyrl-CS"/>
        </w:rPr>
        <w:t>ИЗВЈЕШТАЈ О ПОСЛОВАЊУ</w:t>
      </w:r>
    </w:p>
    <w:p w:rsidR="00AF6FFE" w:rsidRPr="00832CBC" w:rsidRDefault="00AF6FFE" w:rsidP="00AF6FFE">
      <w:pPr>
        <w:jc w:val="center"/>
        <w:rPr>
          <w:b/>
          <w:bCs/>
          <w:lang w:val="sr-Cyrl-CS"/>
        </w:rPr>
      </w:pPr>
      <w:r w:rsidRPr="002C0F44">
        <w:rPr>
          <w:b/>
          <w:bCs/>
          <w:lang w:val="sr-Cyrl-CS"/>
        </w:rPr>
        <w:t xml:space="preserve">ЈП </w:t>
      </w:r>
      <w:r>
        <w:rPr>
          <w:b/>
          <w:bCs/>
          <w:lang w:val="sr-Cyrl-CS"/>
        </w:rPr>
        <w:t>„</w:t>
      </w:r>
      <w:r w:rsidRPr="002C0F44">
        <w:rPr>
          <w:b/>
          <w:bCs/>
          <w:lang w:val="sr-Cyrl-CS"/>
        </w:rPr>
        <w:t>ДИРЕКЦИЈА ЗА ИЗГРАДЊУ И РАЗВОЈ ГРАДА</w:t>
      </w:r>
      <w:r>
        <w:rPr>
          <w:b/>
          <w:bCs/>
          <w:lang w:val="sr-Cyrl-CS"/>
        </w:rPr>
        <w:t>“</w:t>
      </w:r>
      <w:r>
        <w:rPr>
          <w:b/>
          <w:bCs/>
          <w:lang w:val="en-US"/>
        </w:rPr>
        <w:t xml:space="preserve"> </w:t>
      </w:r>
      <w:r>
        <w:rPr>
          <w:b/>
          <w:bCs/>
          <w:lang w:val="sr-Cyrl-CS"/>
        </w:rPr>
        <w:t>д.о.о.</w:t>
      </w:r>
    </w:p>
    <w:p w:rsidR="00AF6FFE" w:rsidRPr="002C0F44" w:rsidRDefault="00AF6FFE" w:rsidP="00AF6FFE">
      <w:pPr>
        <w:jc w:val="center"/>
        <w:rPr>
          <w:b/>
          <w:bCs/>
          <w:lang w:val="sr-Latn-CS"/>
        </w:rPr>
      </w:pPr>
      <w:r w:rsidRPr="002C0F44">
        <w:rPr>
          <w:b/>
          <w:bCs/>
          <w:lang w:val="sr-Cyrl-CS"/>
        </w:rPr>
        <w:t xml:space="preserve">БИЈЕЉИНА </w:t>
      </w:r>
      <w:r w:rsidR="002D63C7">
        <w:rPr>
          <w:b/>
          <w:bCs/>
          <w:lang w:val="sr-Cyrl-CS"/>
        </w:rPr>
        <w:t xml:space="preserve">ЗА </w:t>
      </w:r>
      <w:r>
        <w:rPr>
          <w:b/>
          <w:bCs/>
          <w:lang w:val="sr-Cyrl-CS"/>
        </w:rPr>
        <w:t>20</w:t>
      </w:r>
      <w:r>
        <w:rPr>
          <w:b/>
          <w:bCs/>
          <w:lang w:val="ru-RU"/>
        </w:rPr>
        <w:t>1</w:t>
      </w:r>
      <w:r w:rsidR="002B7E47">
        <w:rPr>
          <w:b/>
          <w:bCs/>
          <w:lang w:val="sr-Cyrl-BA"/>
        </w:rPr>
        <w:t>8</w:t>
      </w:r>
      <w:r>
        <w:rPr>
          <w:b/>
          <w:bCs/>
          <w:lang w:val="sr-Cyrl-CS"/>
        </w:rPr>
        <w:t>. ГОДИНУ</w:t>
      </w:r>
    </w:p>
    <w:p w:rsidR="00AF6FFE" w:rsidRDefault="00AF6FFE" w:rsidP="00AF6FFE">
      <w:pPr>
        <w:rPr>
          <w:b/>
          <w:bCs/>
          <w:sz w:val="28"/>
          <w:lang w:val="sr-Cyrl-CS"/>
        </w:rPr>
      </w:pPr>
    </w:p>
    <w:p w:rsidR="00AF6FFE" w:rsidRPr="00A67481" w:rsidRDefault="00AF6FFE" w:rsidP="00AF6FFE">
      <w:pPr>
        <w:rPr>
          <w:b/>
          <w:bCs/>
          <w:color w:val="262626" w:themeColor="text1" w:themeTint="D9"/>
          <w:sz w:val="28"/>
          <w:lang w:val="sr-Cyrl-CS"/>
        </w:rPr>
      </w:pPr>
    </w:p>
    <w:p w:rsidR="00AF6FFE" w:rsidRPr="00A67481" w:rsidRDefault="00AF6FFE" w:rsidP="00AF6FFE">
      <w:pPr>
        <w:jc w:val="both"/>
        <w:rPr>
          <w:noProof/>
          <w:color w:val="262626" w:themeColor="text1" w:themeTint="D9"/>
          <w:lang w:val="sr-Cyrl-CS"/>
        </w:rPr>
      </w:pPr>
      <w:r w:rsidRPr="00A67481">
        <w:rPr>
          <w:noProof/>
          <w:color w:val="262626" w:themeColor="text1" w:themeTint="D9"/>
          <w:lang w:val="sr-Latn-CS"/>
        </w:rPr>
        <w:t xml:space="preserve">ЈП "Дирекција за изградњу и развој града" Бијељина </w:t>
      </w:r>
      <w:r w:rsidRPr="00A67481">
        <w:rPr>
          <w:noProof/>
          <w:color w:val="262626" w:themeColor="text1" w:themeTint="D9"/>
          <w:lang w:val="sr-Cyrl-CS"/>
        </w:rPr>
        <w:t>основана је</w:t>
      </w:r>
      <w:r w:rsidRPr="00A67481">
        <w:rPr>
          <w:noProof/>
          <w:color w:val="262626" w:themeColor="text1" w:themeTint="D9"/>
          <w:lang w:val="sr-Latn-CS"/>
        </w:rPr>
        <w:t xml:space="preserve"> 2004. године као јавно предузеће, </w:t>
      </w:r>
      <w:r w:rsidRPr="00A67481">
        <w:rPr>
          <w:noProof/>
          <w:color w:val="262626" w:themeColor="text1" w:themeTint="D9"/>
          <w:lang w:val="sr-Cyrl-CS"/>
        </w:rPr>
        <w:t xml:space="preserve">са сврхом </w:t>
      </w:r>
      <w:r w:rsidRPr="00A67481">
        <w:rPr>
          <w:noProof/>
          <w:color w:val="262626" w:themeColor="text1" w:themeTint="D9"/>
          <w:lang w:val="sr-Latn-CS"/>
        </w:rPr>
        <w:t>обавља</w:t>
      </w:r>
      <w:r w:rsidRPr="00A67481">
        <w:rPr>
          <w:noProof/>
          <w:color w:val="262626" w:themeColor="text1" w:themeTint="D9"/>
          <w:lang w:val="sr-Cyrl-CS"/>
        </w:rPr>
        <w:t>ња</w:t>
      </w:r>
      <w:r w:rsidRPr="00A67481">
        <w:rPr>
          <w:noProof/>
          <w:color w:val="262626" w:themeColor="text1" w:themeTint="D9"/>
          <w:lang w:val="sr-Latn-CS"/>
        </w:rPr>
        <w:t xml:space="preserve"> послова који се односе на прибављање, припремање и уређење грађевинског земљишта, организовање и вођење инвестиција од значаја за општину као и активности заштите и унапређења животне средине. </w:t>
      </w:r>
    </w:p>
    <w:p w:rsidR="00AF6FFE" w:rsidRPr="00A67481" w:rsidRDefault="00AF6FFE" w:rsidP="00AF6FFE">
      <w:pPr>
        <w:jc w:val="both"/>
        <w:rPr>
          <w:noProof/>
          <w:color w:val="262626" w:themeColor="text1" w:themeTint="D9"/>
          <w:lang w:val="sr-Cyrl-CS"/>
        </w:rPr>
      </w:pPr>
      <w:r w:rsidRPr="00A67481">
        <w:rPr>
          <w:noProof/>
          <w:color w:val="262626" w:themeColor="text1" w:themeTint="D9"/>
          <w:lang w:val="sr-Latn-CS"/>
        </w:rPr>
        <w:t xml:space="preserve">Оснивач </w:t>
      </w:r>
      <w:r w:rsidRPr="00A67481">
        <w:rPr>
          <w:noProof/>
          <w:color w:val="262626" w:themeColor="text1" w:themeTint="D9"/>
          <w:lang w:val="sr-Cyrl-CS"/>
        </w:rPr>
        <w:t>предузећа,</w:t>
      </w:r>
      <w:r w:rsidRPr="00A67481">
        <w:rPr>
          <w:noProof/>
          <w:color w:val="262626" w:themeColor="text1" w:themeTint="D9"/>
          <w:lang w:val="sr-Latn-CS"/>
        </w:rPr>
        <w:t xml:space="preserve"> Општина</w:t>
      </w:r>
      <w:r w:rsidRPr="00A67481">
        <w:rPr>
          <w:noProof/>
          <w:color w:val="262626" w:themeColor="text1" w:themeTint="D9"/>
          <w:lang w:val="sr-Cyrl-CS"/>
        </w:rPr>
        <w:t>,</w:t>
      </w:r>
      <w:r w:rsidRPr="00A67481">
        <w:rPr>
          <w:noProof/>
          <w:color w:val="262626" w:themeColor="text1" w:themeTint="D9"/>
          <w:lang w:val="sr-Latn-CS"/>
        </w:rPr>
        <w:t xml:space="preserve"> односно</w:t>
      </w:r>
      <w:r w:rsidRPr="00A67481">
        <w:rPr>
          <w:noProof/>
          <w:color w:val="262626" w:themeColor="text1" w:themeTint="D9"/>
          <w:lang w:val="sr-Cyrl-CS"/>
        </w:rPr>
        <w:t xml:space="preserve"> сада</w:t>
      </w:r>
      <w:r w:rsidRPr="00A67481">
        <w:rPr>
          <w:noProof/>
          <w:color w:val="262626" w:themeColor="text1" w:themeTint="D9"/>
          <w:lang w:val="sr-Latn-CS"/>
        </w:rPr>
        <w:t xml:space="preserve"> Град Бијељина је</w:t>
      </w:r>
      <w:r w:rsidRPr="00A67481">
        <w:rPr>
          <w:noProof/>
          <w:color w:val="262626" w:themeColor="text1" w:themeTint="D9"/>
          <w:lang w:val="sr-Cyrl-CS"/>
        </w:rPr>
        <w:t xml:space="preserve"> заступљена</w:t>
      </w:r>
      <w:r w:rsidRPr="00A67481">
        <w:rPr>
          <w:noProof/>
          <w:color w:val="262626" w:themeColor="text1" w:themeTint="D9"/>
          <w:lang w:val="sr-Latn-CS"/>
        </w:rPr>
        <w:t xml:space="preserve"> </w:t>
      </w:r>
      <w:r w:rsidRPr="00A67481">
        <w:rPr>
          <w:noProof/>
          <w:color w:val="262626" w:themeColor="text1" w:themeTint="D9"/>
          <w:lang w:val="sr-Cyrl-CS"/>
        </w:rPr>
        <w:t>са</w:t>
      </w:r>
      <w:r w:rsidR="009D04AC" w:rsidRPr="009D04AC">
        <w:rPr>
          <w:noProof/>
          <w:color w:val="262626" w:themeColor="text1" w:themeTint="D9"/>
          <w:lang w:val="sr-Cyrl-CS"/>
        </w:rPr>
        <w:t xml:space="preserve"> </w:t>
      </w:r>
      <w:r w:rsidR="009D04AC" w:rsidRPr="00A67481">
        <w:rPr>
          <w:noProof/>
          <w:color w:val="262626" w:themeColor="text1" w:themeTint="D9"/>
          <w:lang w:val="sr-Cyrl-CS"/>
        </w:rPr>
        <w:t>учешћем</w:t>
      </w:r>
      <w:r w:rsidRPr="00A67481">
        <w:rPr>
          <w:noProof/>
          <w:color w:val="262626" w:themeColor="text1" w:themeTint="D9"/>
          <w:lang w:val="sr-Cyrl-CS"/>
        </w:rPr>
        <w:t xml:space="preserve"> 100% у капиталу.</w:t>
      </w:r>
    </w:p>
    <w:p w:rsidR="00AF6FFE" w:rsidRPr="00A67481" w:rsidRDefault="00AF6FFE" w:rsidP="00AF6FFE">
      <w:pPr>
        <w:jc w:val="both"/>
        <w:rPr>
          <w:noProof/>
          <w:color w:val="262626" w:themeColor="text1" w:themeTint="D9"/>
          <w:lang w:val="sr-Latn-BA"/>
        </w:rPr>
      </w:pPr>
      <w:r w:rsidRPr="00A67481">
        <w:rPr>
          <w:noProof/>
          <w:color w:val="262626" w:themeColor="text1" w:themeTint="D9"/>
          <w:lang w:val="sr-Cyrl-CS"/>
        </w:rPr>
        <w:t>Предузеће</w:t>
      </w:r>
      <w:r w:rsidRPr="00A67481">
        <w:rPr>
          <w:noProof/>
          <w:color w:val="262626" w:themeColor="text1" w:themeTint="D9"/>
          <w:lang w:val="sr-Latn-CS"/>
        </w:rPr>
        <w:t xml:space="preserve"> је, у складу са законском обавезом</w:t>
      </w:r>
      <w:r w:rsidRPr="00A67481">
        <w:rPr>
          <w:noProof/>
          <w:color w:val="262626" w:themeColor="text1" w:themeTint="D9"/>
          <w:lang w:val="sr-Cyrl-CS"/>
        </w:rPr>
        <w:t xml:space="preserve">, </w:t>
      </w:r>
      <w:r w:rsidRPr="00A67481">
        <w:rPr>
          <w:noProof/>
          <w:color w:val="262626" w:themeColor="text1" w:themeTint="D9"/>
          <w:lang w:val="sr-Latn-CS"/>
        </w:rPr>
        <w:t>2013. године извршил</w:t>
      </w:r>
      <w:r w:rsidRPr="00A67481">
        <w:rPr>
          <w:noProof/>
          <w:color w:val="262626" w:themeColor="text1" w:themeTint="D9"/>
          <w:lang w:val="sr-Cyrl-CS"/>
        </w:rPr>
        <w:t>о</w:t>
      </w:r>
      <w:r w:rsidRPr="00A67481">
        <w:rPr>
          <w:noProof/>
          <w:color w:val="262626" w:themeColor="text1" w:themeTint="D9"/>
          <w:lang w:val="sr-Latn-CS"/>
        </w:rPr>
        <w:t xml:space="preserve"> усклађивање правне форме организовања у </w:t>
      </w:r>
      <w:r w:rsidRPr="00A67481">
        <w:rPr>
          <w:noProof/>
          <w:color w:val="262626" w:themeColor="text1" w:themeTint="D9"/>
          <w:lang w:val="sr-Cyrl-CS"/>
        </w:rPr>
        <w:t>Ј</w:t>
      </w:r>
      <w:r w:rsidRPr="00A67481">
        <w:rPr>
          <w:noProof/>
          <w:color w:val="262626" w:themeColor="text1" w:themeTint="D9"/>
          <w:lang w:val="sr-Latn-CS"/>
        </w:rPr>
        <w:t>авно предузеће</w:t>
      </w:r>
      <w:r w:rsidRPr="00A67481">
        <w:rPr>
          <w:noProof/>
          <w:color w:val="262626" w:themeColor="text1" w:themeTint="D9"/>
          <w:lang w:val="sr-Cyrl-CS"/>
        </w:rPr>
        <w:t xml:space="preserve"> </w:t>
      </w:r>
      <w:r w:rsidRPr="00A67481">
        <w:rPr>
          <w:noProof/>
          <w:color w:val="262626" w:themeColor="text1" w:themeTint="D9"/>
          <w:lang w:val="sr-Latn-CS"/>
        </w:rPr>
        <w:t>"Дирекција за изградњу и развој града", друштво са ограниченом одговорношћу (једночлано). Имовина друштва је</w:t>
      </w:r>
      <w:r w:rsidRPr="00A67481">
        <w:rPr>
          <w:noProof/>
          <w:color w:val="262626" w:themeColor="text1" w:themeTint="D9"/>
          <w:lang w:val="sr-Cyrl-CS"/>
        </w:rPr>
        <w:t xml:space="preserve"> и даље</w:t>
      </w:r>
      <w:r w:rsidRPr="00A67481">
        <w:rPr>
          <w:noProof/>
          <w:color w:val="262626" w:themeColor="text1" w:themeTint="D9"/>
          <w:lang w:val="sr-Latn-CS"/>
        </w:rPr>
        <w:t xml:space="preserve"> у државној својини.</w:t>
      </w:r>
    </w:p>
    <w:p w:rsidR="00AF6FFE" w:rsidRPr="00A67481" w:rsidRDefault="00AF6FFE" w:rsidP="00AF6FFE">
      <w:pPr>
        <w:jc w:val="both"/>
        <w:rPr>
          <w:noProof/>
          <w:color w:val="262626" w:themeColor="text1" w:themeTint="D9"/>
          <w:lang w:val="sr-Latn-CS"/>
        </w:rPr>
      </w:pPr>
    </w:p>
    <w:p w:rsidR="00AF6FFE" w:rsidRPr="00A67481" w:rsidRDefault="00AF6FFE" w:rsidP="00AF6FFE">
      <w:pPr>
        <w:jc w:val="both"/>
        <w:rPr>
          <w:noProof/>
          <w:color w:val="262626" w:themeColor="text1" w:themeTint="D9"/>
          <w:lang w:val="sr-Latn-CS"/>
        </w:rPr>
      </w:pPr>
      <w:r w:rsidRPr="00A67481">
        <w:rPr>
          <w:noProof/>
          <w:color w:val="262626" w:themeColor="text1" w:themeTint="D9"/>
          <w:lang w:val="sr-Latn-CS"/>
        </w:rPr>
        <w:t>Предузеће у 201</w:t>
      </w:r>
      <w:r w:rsidR="00EB455B" w:rsidRPr="00A67481">
        <w:rPr>
          <w:noProof/>
          <w:color w:val="262626" w:themeColor="text1" w:themeTint="D9"/>
          <w:lang w:val="sr-Latn-BA"/>
        </w:rPr>
        <w:t>8</w:t>
      </w:r>
      <w:r w:rsidRPr="00A67481">
        <w:rPr>
          <w:noProof/>
          <w:color w:val="262626" w:themeColor="text1" w:themeTint="D9"/>
          <w:lang w:val="sr-Latn-CS"/>
        </w:rPr>
        <w:t>. години посједује лиценце Министарства за просторно уређење, грађевинарство и екологију Бања Лука:</w:t>
      </w:r>
    </w:p>
    <w:p w:rsidR="00A67481" w:rsidRPr="00A67481" w:rsidRDefault="00AF6FFE" w:rsidP="00AF6FFE">
      <w:pPr>
        <w:numPr>
          <w:ilvl w:val="0"/>
          <w:numId w:val="13"/>
        </w:numPr>
        <w:jc w:val="both"/>
        <w:rPr>
          <w:noProof/>
          <w:color w:val="262626" w:themeColor="text1" w:themeTint="D9"/>
          <w:lang w:val="sr-Latn-CS"/>
        </w:rPr>
      </w:pPr>
      <w:r w:rsidRPr="00A67481">
        <w:rPr>
          <w:b/>
          <w:noProof/>
          <w:color w:val="262626" w:themeColor="text1" w:themeTint="D9"/>
          <w:lang w:val="sr-Latn-CS"/>
        </w:rPr>
        <w:t>лиценцу за израду</w:t>
      </w:r>
      <w:r w:rsidR="00A67481" w:rsidRPr="00A67481">
        <w:rPr>
          <w:b/>
          <w:noProof/>
          <w:color w:val="262626" w:themeColor="text1" w:themeTint="D9"/>
          <w:lang w:val="sr-Cyrl-BA"/>
        </w:rPr>
        <w:t xml:space="preserve"> стратешких</w:t>
      </w:r>
      <w:r w:rsidRPr="00A67481">
        <w:rPr>
          <w:b/>
          <w:noProof/>
          <w:color w:val="262626" w:themeColor="text1" w:themeTint="D9"/>
          <w:lang w:val="sr-Latn-CS"/>
        </w:rPr>
        <w:t xml:space="preserve"> докумената просторног уређења</w:t>
      </w:r>
    </w:p>
    <w:p w:rsidR="00AF6FFE" w:rsidRPr="00A67481" w:rsidRDefault="00AF6FFE" w:rsidP="00AF6FFE">
      <w:pPr>
        <w:numPr>
          <w:ilvl w:val="0"/>
          <w:numId w:val="13"/>
        </w:numPr>
        <w:jc w:val="both"/>
        <w:rPr>
          <w:noProof/>
          <w:color w:val="262626" w:themeColor="text1" w:themeTint="D9"/>
          <w:lang w:val="sr-Latn-CS"/>
        </w:rPr>
      </w:pPr>
      <w:r w:rsidRPr="00A67481">
        <w:rPr>
          <w:noProof/>
          <w:color w:val="262626" w:themeColor="text1" w:themeTint="D9"/>
          <w:lang w:val="sr-Latn-CS"/>
        </w:rPr>
        <w:t xml:space="preserve"> </w:t>
      </w:r>
      <w:r w:rsidRPr="00A67481">
        <w:rPr>
          <w:b/>
          <w:noProof/>
          <w:color w:val="262626" w:themeColor="text1" w:themeTint="D9"/>
          <w:lang w:val="sr-Latn-CS"/>
        </w:rPr>
        <w:t xml:space="preserve">лиценцу за израду техничке документације </w:t>
      </w:r>
      <w:r w:rsidRPr="00A67481">
        <w:rPr>
          <w:noProof/>
          <w:color w:val="262626" w:themeColor="text1" w:themeTint="D9"/>
          <w:lang w:val="sr-Latn-CS"/>
        </w:rPr>
        <w:t>за објекте за које одобрење за грађење издаје општински орган управе-фаза нискоградње и хидро</w:t>
      </w:r>
      <w:r w:rsidRPr="00A67481">
        <w:rPr>
          <w:noProof/>
          <w:color w:val="262626" w:themeColor="text1" w:themeTint="D9"/>
          <w:lang w:val="sr-Cyrl-CS"/>
        </w:rPr>
        <w:t>техничка фаза</w:t>
      </w:r>
      <w:r w:rsidRPr="00A67481">
        <w:rPr>
          <w:noProof/>
          <w:color w:val="262626" w:themeColor="text1" w:themeTint="D9"/>
          <w:lang w:val="sr-Latn-CS"/>
        </w:rPr>
        <w:t xml:space="preserve">, те за објекте за које одобрење за грађење издаје Министарство за просторно уређење, грађевинарство и екологију- архитектонска, конструктивна, </w:t>
      </w:r>
      <w:r w:rsidRPr="00A67481">
        <w:rPr>
          <w:noProof/>
          <w:color w:val="262626" w:themeColor="text1" w:themeTint="D9"/>
          <w:lang w:val="sr-Cyrl-CS"/>
        </w:rPr>
        <w:t>дио машинске фазе-област термотехнике, инсталације гријања, гаса, вентилације и климатизације</w:t>
      </w:r>
      <w:r w:rsidRPr="00A67481">
        <w:rPr>
          <w:noProof/>
          <w:color w:val="262626" w:themeColor="text1" w:themeTint="D9"/>
          <w:lang w:val="sr-Latn-CS"/>
        </w:rPr>
        <w:t>,</w:t>
      </w:r>
      <w:r w:rsidRPr="00A67481">
        <w:rPr>
          <w:noProof/>
          <w:color w:val="262626" w:themeColor="text1" w:themeTint="D9"/>
          <w:lang w:val="sr-Cyrl-CS"/>
        </w:rPr>
        <w:t xml:space="preserve"> као</w:t>
      </w:r>
      <w:r w:rsidRPr="00A67481">
        <w:rPr>
          <w:noProof/>
          <w:color w:val="262626" w:themeColor="text1" w:themeTint="D9"/>
          <w:lang w:val="sr-Latn-CS"/>
        </w:rPr>
        <w:t xml:space="preserve"> и </w:t>
      </w:r>
      <w:r w:rsidRPr="00A67481">
        <w:rPr>
          <w:noProof/>
          <w:color w:val="262626" w:themeColor="text1" w:themeTint="D9"/>
          <w:lang w:val="sr-Cyrl-CS"/>
        </w:rPr>
        <w:t>дио</w:t>
      </w:r>
      <w:r w:rsidRPr="00A67481">
        <w:rPr>
          <w:noProof/>
          <w:color w:val="262626" w:themeColor="text1" w:themeTint="D9"/>
          <w:lang w:val="sr-Latn-CS"/>
        </w:rPr>
        <w:t xml:space="preserve"> електро фаз</w:t>
      </w:r>
      <w:r w:rsidRPr="00A67481">
        <w:rPr>
          <w:noProof/>
          <w:color w:val="262626" w:themeColor="text1" w:themeTint="D9"/>
          <w:lang w:val="sr-Cyrl-CS"/>
        </w:rPr>
        <w:t>е-</w:t>
      </w:r>
      <w:r w:rsidRPr="00A67481">
        <w:rPr>
          <w:noProof/>
          <w:color w:val="262626" w:themeColor="text1" w:themeTint="D9"/>
          <w:lang w:val="sr-Latn-CS"/>
        </w:rPr>
        <w:t xml:space="preserve"> </w:t>
      </w:r>
      <w:r w:rsidRPr="00A67481">
        <w:rPr>
          <w:noProof/>
          <w:color w:val="262626" w:themeColor="text1" w:themeTint="D9"/>
          <w:lang w:val="sr-Cyrl-CS"/>
        </w:rPr>
        <w:t>инсталација јаке струје и електроенергетских постројења</w:t>
      </w:r>
      <w:r w:rsidRPr="00A67481">
        <w:rPr>
          <w:noProof/>
          <w:color w:val="262626" w:themeColor="text1" w:themeTint="D9"/>
          <w:lang w:val="sr-Latn-CS"/>
        </w:rPr>
        <w:t>, те фаза саобраћајне сигнализације</w:t>
      </w:r>
    </w:p>
    <w:p w:rsidR="00AF6FFE" w:rsidRPr="00A67481" w:rsidRDefault="00AF6FFE" w:rsidP="00AF6FFE">
      <w:pPr>
        <w:numPr>
          <w:ilvl w:val="0"/>
          <w:numId w:val="13"/>
        </w:numPr>
        <w:jc w:val="both"/>
        <w:rPr>
          <w:noProof/>
          <w:color w:val="262626" w:themeColor="text1" w:themeTint="D9"/>
          <w:lang w:val="sr-Latn-CS"/>
        </w:rPr>
      </w:pPr>
      <w:r w:rsidRPr="00A67481">
        <w:rPr>
          <w:b/>
          <w:noProof/>
          <w:color w:val="262626" w:themeColor="text1" w:themeTint="D9"/>
          <w:lang w:val="sr-Latn-CS"/>
        </w:rPr>
        <w:t xml:space="preserve">лиценцу за </w:t>
      </w:r>
      <w:r w:rsidRPr="00A67481">
        <w:rPr>
          <w:b/>
          <w:noProof/>
          <w:color w:val="262626" w:themeColor="text1" w:themeTint="D9"/>
          <w:lang w:val="sr-Cyrl-CS"/>
        </w:rPr>
        <w:t>ревизију</w:t>
      </w:r>
      <w:r w:rsidRPr="00A67481">
        <w:rPr>
          <w:b/>
          <w:noProof/>
          <w:color w:val="262626" w:themeColor="text1" w:themeTint="D9"/>
          <w:lang w:val="sr-Latn-CS"/>
        </w:rPr>
        <w:t xml:space="preserve"> техничке документације</w:t>
      </w:r>
      <w:r w:rsidRPr="00A67481">
        <w:rPr>
          <w:noProof/>
          <w:color w:val="262626" w:themeColor="text1" w:themeTint="D9"/>
          <w:lang w:val="sr-Latn-CS"/>
        </w:rPr>
        <w:t xml:space="preserve"> за објекте за које одобрење за грађење издаје општински орган управе-</w:t>
      </w:r>
      <w:r w:rsidRPr="00A67481">
        <w:rPr>
          <w:noProof/>
          <w:color w:val="262626" w:themeColor="text1" w:themeTint="D9"/>
          <w:lang w:val="sr-Cyrl-CS"/>
        </w:rPr>
        <w:t xml:space="preserve">хидротехничка </w:t>
      </w:r>
      <w:r w:rsidRPr="00A67481">
        <w:rPr>
          <w:noProof/>
          <w:color w:val="262626" w:themeColor="text1" w:themeTint="D9"/>
          <w:lang w:val="sr-Latn-CS"/>
        </w:rPr>
        <w:t xml:space="preserve">фаза </w:t>
      </w:r>
      <w:r w:rsidRPr="00A67481">
        <w:rPr>
          <w:noProof/>
          <w:color w:val="262626" w:themeColor="text1" w:themeTint="D9"/>
          <w:lang w:val="sr-Cyrl-CS"/>
        </w:rPr>
        <w:t>и дио машинске фазе, област термотехнике, инсталације гријања, гаса, вентилације и климатизације</w:t>
      </w:r>
      <w:r w:rsidRPr="00A67481">
        <w:rPr>
          <w:noProof/>
          <w:color w:val="262626" w:themeColor="text1" w:themeTint="D9"/>
          <w:lang w:val="sr-Latn-CS"/>
        </w:rPr>
        <w:t xml:space="preserve">, </w:t>
      </w:r>
      <w:r w:rsidRPr="00A67481">
        <w:rPr>
          <w:noProof/>
          <w:color w:val="262626" w:themeColor="text1" w:themeTint="D9"/>
          <w:lang w:val="sr-Cyrl-CS"/>
        </w:rPr>
        <w:t>а</w:t>
      </w:r>
      <w:r w:rsidRPr="00A67481">
        <w:rPr>
          <w:noProof/>
          <w:color w:val="262626" w:themeColor="text1" w:themeTint="D9"/>
          <w:lang w:val="sr-Latn-CS"/>
        </w:rPr>
        <w:t xml:space="preserve"> за објекте за које одобрење за грађење издаје Министарство за просторно уређење, грађевинарство и екологију- архитектонска, конструктивна, </w:t>
      </w:r>
      <w:r w:rsidRPr="00A67481">
        <w:rPr>
          <w:noProof/>
          <w:color w:val="262626" w:themeColor="text1" w:themeTint="D9"/>
          <w:lang w:val="sr-Cyrl-CS"/>
        </w:rPr>
        <w:t>и дио</w:t>
      </w:r>
      <w:r w:rsidRPr="00A67481">
        <w:rPr>
          <w:noProof/>
          <w:color w:val="262626" w:themeColor="text1" w:themeTint="D9"/>
          <w:lang w:val="sr-Latn-CS"/>
        </w:rPr>
        <w:t xml:space="preserve"> електро фаз</w:t>
      </w:r>
      <w:r w:rsidRPr="00A67481">
        <w:rPr>
          <w:noProof/>
          <w:color w:val="262626" w:themeColor="text1" w:themeTint="D9"/>
          <w:lang w:val="sr-Cyrl-CS"/>
        </w:rPr>
        <w:t>е</w:t>
      </w:r>
      <w:r w:rsidRPr="00A67481">
        <w:rPr>
          <w:noProof/>
          <w:color w:val="262626" w:themeColor="text1" w:themeTint="D9"/>
          <w:lang w:val="sr-Latn-CS"/>
        </w:rPr>
        <w:t xml:space="preserve">, </w:t>
      </w:r>
      <w:r w:rsidRPr="00A67481">
        <w:rPr>
          <w:noProof/>
          <w:color w:val="262626" w:themeColor="text1" w:themeTint="D9"/>
          <w:lang w:val="sr-Cyrl-CS"/>
        </w:rPr>
        <w:t>инсталација јаке струје и електроенергетских постројења</w:t>
      </w:r>
    </w:p>
    <w:p w:rsidR="00AF6FFE" w:rsidRPr="00A67481" w:rsidRDefault="00AF6FFE" w:rsidP="00864E2B">
      <w:pPr>
        <w:pStyle w:val="BodyText"/>
        <w:rPr>
          <w:noProof/>
          <w:color w:val="262626" w:themeColor="text1" w:themeTint="D9"/>
        </w:rPr>
      </w:pPr>
    </w:p>
    <w:p w:rsidR="00AF6FFE" w:rsidRPr="00A67481" w:rsidRDefault="00AF6FFE" w:rsidP="00864E2B">
      <w:pPr>
        <w:pStyle w:val="BodyText"/>
        <w:rPr>
          <w:noProof/>
          <w:color w:val="262626" w:themeColor="text1" w:themeTint="D9"/>
          <w:lang w:val="sr-Latn-CS"/>
        </w:rPr>
      </w:pPr>
      <w:r w:rsidRPr="00A67481">
        <w:rPr>
          <w:noProof/>
          <w:color w:val="262626" w:themeColor="text1" w:themeTint="D9"/>
          <w:lang w:val="sr-Latn-CS"/>
        </w:rPr>
        <w:t>На дан 31.12.201</w:t>
      </w:r>
      <w:r w:rsidR="00EB455B" w:rsidRPr="00A67481">
        <w:rPr>
          <w:noProof/>
          <w:color w:val="262626" w:themeColor="text1" w:themeTint="D9"/>
          <w:lang w:val="sr-Latn-BA"/>
        </w:rPr>
        <w:t>8</w:t>
      </w:r>
      <w:r w:rsidRPr="00A67481">
        <w:rPr>
          <w:noProof/>
          <w:color w:val="262626" w:themeColor="text1" w:themeTint="D9"/>
          <w:lang w:val="sr-Latn-CS"/>
        </w:rPr>
        <w:t xml:space="preserve">. године Дирекција је запошљавала </w:t>
      </w:r>
      <w:r w:rsidRPr="00A67481">
        <w:rPr>
          <w:noProof/>
          <w:color w:val="262626" w:themeColor="text1" w:themeTint="D9"/>
        </w:rPr>
        <w:t>5</w:t>
      </w:r>
      <w:r w:rsidR="00A132C5" w:rsidRPr="00A67481">
        <w:rPr>
          <w:noProof/>
          <w:color w:val="262626" w:themeColor="text1" w:themeTint="D9"/>
          <w:lang w:val="sr-Latn-BA"/>
        </w:rPr>
        <w:t>6</w:t>
      </w:r>
      <w:r w:rsidRPr="00A67481">
        <w:rPr>
          <w:noProof/>
          <w:color w:val="262626" w:themeColor="text1" w:themeTint="D9"/>
          <w:lang w:val="sr-Latn-CS"/>
        </w:rPr>
        <w:t xml:space="preserve"> радника од чега: </w:t>
      </w:r>
      <w:r w:rsidR="00A132C5" w:rsidRPr="00A67481">
        <w:rPr>
          <w:noProof/>
          <w:color w:val="262626" w:themeColor="text1" w:themeTint="D9"/>
          <w:lang w:val="sr-Latn-CS"/>
        </w:rPr>
        <w:t>8</w:t>
      </w:r>
      <w:r w:rsidR="00A67481" w:rsidRPr="00A67481">
        <w:rPr>
          <w:noProof/>
          <w:color w:val="262626" w:themeColor="text1" w:themeTint="D9"/>
          <w:lang w:val="sr-Latn-CS"/>
        </w:rPr>
        <w:t xml:space="preserve"> дипл.инж.архитектуре,</w:t>
      </w:r>
      <w:r w:rsidR="00A67481" w:rsidRPr="00A67481">
        <w:rPr>
          <w:noProof/>
          <w:color w:val="262626" w:themeColor="text1" w:themeTint="D9"/>
          <w:lang w:val="sr-Cyrl-BA"/>
        </w:rPr>
        <w:t xml:space="preserve"> 7 </w:t>
      </w:r>
      <w:r w:rsidRPr="00A67481">
        <w:rPr>
          <w:noProof/>
          <w:color w:val="262626" w:themeColor="text1" w:themeTint="D9"/>
          <w:lang w:val="sr-Latn-CS"/>
        </w:rPr>
        <w:t>дипл.инж.</w:t>
      </w:r>
      <w:r w:rsidR="00864E2B">
        <w:rPr>
          <w:noProof/>
          <w:color w:val="262626" w:themeColor="text1" w:themeTint="D9"/>
          <w:lang w:val="sr-Latn-CS"/>
        </w:rPr>
        <w:t xml:space="preserve">грађевинарства, </w:t>
      </w:r>
      <w:r w:rsidR="00A132C5" w:rsidRPr="00A67481">
        <w:rPr>
          <w:noProof/>
          <w:color w:val="262626" w:themeColor="text1" w:themeTint="D9"/>
          <w:lang w:val="sr-Latn-CS"/>
        </w:rPr>
        <w:t>2</w:t>
      </w:r>
      <w:r w:rsidR="00864E2B">
        <w:rPr>
          <w:noProof/>
          <w:color w:val="262626" w:themeColor="text1" w:themeTint="D9"/>
          <w:lang w:val="sr-Latn-CS"/>
        </w:rPr>
        <w:t xml:space="preserve"> </w:t>
      </w:r>
      <w:r w:rsidR="00A132C5" w:rsidRPr="00A67481">
        <w:rPr>
          <w:noProof/>
          <w:color w:val="262626" w:themeColor="text1" w:themeTint="D9"/>
          <w:lang w:val="sr-Cyrl-BA"/>
        </w:rPr>
        <w:t>д</w:t>
      </w:r>
      <w:r w:rsidRPr="00A67481">
        <w:rPr>
          <w:noProof/>
          <w:color w:val="262626" w:themeColor="text1" w:themeTint="D9"/>
          <w:lang w:val="sr-Latn-CS"/>
        </w:rPr>
        <w:t>ипл.инж.машинства, 2</w:t>
      </w:r>
      <w:r w:rsidRPr="00A67481">
        <w:rPr>
          <w:noProof/>
          <w:color w:val="262626" w:themeColor="text1" w:themeTint="D9"/>
        </w:rPr>
        <w:t xml:space="preserve"> </w:t>
      </w:r>
      <w:r w:rsidRPr="00A67481">
        <w:rPr>
          <w:noProof/>
          <w:color w:val="262626" w:themeColor="text1" w:themeTint="D9"/>
          <w:lang w:val="sr-Latn-CS"/>
        </w:rPr>
        <w:t xml:space="preserve">дипл.инж.саобраћаја, </w:t>
      </w:r>
      <w:r w:rsidR="00A132C5" w:rsidRPr="00A67481">
        <w:rPr>
          <w:noProof/>
          <w:color w:val="262626" w:themeColor="text1" w:themeTint="D9"/>
          <w:lang w:val="sr-Cyrl-BA"/>
        </w:rPr>
        <w:t>2</w:t>
      </w:r>
      <w:r w:rsidRPr="00A67481">
        <w:rPr>
          <w:noProof/>
          <w:color w:val="262626" w:themeColor="text1" w:themeTint="D9"/>
          <w:lang w:val="sr-Latn-CS"/>
        </w:rPr>
        <w:t xml:space="preserve"> дипл.инж. електротехнике, 1 проф.техн</w:t>
      </w:r>
      <w:r w:rsidRPr="00A67481">
        <w:rPr>
          <w:noProof/>
          <w:color w:val="262626" w:themeColor="text1" w:themeTint="D9"/>
        </w:rPr>
        <w:t>ичког</w:t>
      </w:r>
      <w:r w:rsidRPr="00A67481">
        <w:rPr>
          <w:noProof/>
          <w:color w:val="262626" w:themeColor="text1" w:themeTint="D9"/>
          <w:lang w:val="sr-Latn-CS"/>
        </w:rPr>
        <w:t xml:space="preserve"> образовања, 1 дипл. просторни планер, 1 </w:t>
      </w:r>
      <w:r w:rsidRPr="00A67481">
        <w:rPr>
          <w:noProof/>
          <w:color w:val="262626" w:themeColor="text1" w:themeTint="D9"/>
        </w:rPr>
        <w:t>мастер инж.урбанизма и рег. развоја,</w:t>
      </w:r>
      <w:r w:rsidRPr="00A67481">
        <w:rPr>
          <w:noProof/>
          <w:color w:val="262626" w:themeColor="text1" w:themeTint="D9"/>
          <w:lang w:val="sr-Latn-CS"/>
        </w:rPr>
        <w:t xml:space="preserve"> </w:t>
      </w:r>
      <w:r w:rsidRPr="00A67481">
        <w:rPr>
          <w:noProof/>
          <w:color w:val="262626" w:themeColor="text1" w:themeTint="D9"/>
        </w:rPr>
        <w:t xml:space="preserve">1 дипл.инж.пословне информатике, </w:t>
      </w:r>
      <w:r w:rsidRPr="00A67481">
        <w:rPr>
          <w:noProof/>
          <w:color w:val="262626" w:themeColor="text1" w:themeTint="D9"/>
          <w:lang w:val="sr-Latn-CS"/>
        </w:rPr>
        <w:t>4 дипл. економист</w:t>
      </w:r>
      <w:r w:rsidRPr="00A67481">
        <w:rPr>
          <w:noProof/>
          <w:color w:val="262626" w:themeColor="text1" w:themeTint="D9"/>
        </w:rPr>
        <w:t>а</w:t>
      </w:r>
      <w:r w:rsidRPr="00A67481">
        <w:rPr>
          <w:noProof/>
          <w:color w:val="262626" w:themeColor="text1" w:themeTint="D9"/>
          <w:lang w:val="sr-Latn-CS"/>
        </w:rPr>
        <w:t>, 2 дипл. правника, 1 грађ</w:t>
      </w:r>
      <w:r w:rsidRPr="00A67481">
        <w:rPr>
          <w:noProof/>
          <w:color w:val="262626" w:themeColor="text1" w:themeTint="D9"/>
        </w:rPr>
        <w:t>евински</w:t>
      </w:r>
      <w:r w:rsidRPr="00A67481">
        <w:rPr>
          <w:noProof/>
          <w:color w:val="262626" w:themeColor="text1" w:themeTint="D9"/>
          <w:lang w:val="sr-Latn-CS"/>
        </w:rPr>
        <w:t xml:space="preserve"> инж</w:t>
      </w:r>
      <w:r w:rsidRPr="00A67481">
        <w:rPr>
          <w:noProof/>
          <w:color w:val="262626" w:themeColor="text1" w:themeTint="D9"/>
        </w:rPr>
        <w:t>е</w:t>
      </w:r>
      <w:r w:rsidRPr="00A67481">
        <w:rPr>
          <w:noProof/>
          <w:color w:val="262626" w:themeColor="text1" w:themeTint="D9"/>
          <w:lang w:val="sr-Latn-CS"/>
        </w:rPr>
        <w:t>њер,  1 геодетски инж</w:t>
      </w:r>
      <w:r w:rsidRPr="00A67481">
        <w:rPr>
          <w:noProof/>
          <w:color w:val="262626" w:themeColor="text1" w:themeTint="D9"/>
        </w:rPr>
        <w:t>е</w:t>
      </w:r>
      <w:r w:rsidRPr="00A67481">
        <w:rPr>
          <w:noProof/>
          <w:color w:val="262626" w:themeColor="text1" w:themeTint="D9"/>
          <w:lang w:val="sr-Latn-CS"/>
        </w:rPr>
        <w:t>њер</w:t>
      </w:r>
      <w:r w:rsidRPr="00A67481">
        <w:rPr>
          <w:noProof/>
          <w:color w:val="262626" w:themeColor="text1" w:themeTint="D9"/>
        </w:rPr>
        <w:t>,</w:t>
      </w:r>
      <w:r w:rsidRPr="00A67481">
        <w:rPr>
          <w:noProof/>
          <w:color w:val="262626" w:themeColor="text1" w:themeTint="D9"/>
          <w:lang w:val="sr-Latn-CS"/>
        </w:rPr>
        <w:t xml:space="preserve"> 1</w:t>
      </w:r>
      <w:r w:rsidR="00EB455B" w:rsidRPr="00A67481">
        <w:rPr>
          <w:noProof/>
          <w:color w:val="262626" w:themeColor="text1" w:themeTint="D9"/>
          <w:lang w:val="sr-Latn-BA"/>
        </w:rPr>
        <w:t>8</w:t>
      </w:r>
      <w:r w:rsidRPr="00A67481">
        <w:rPr>
          <w:noProof/>
          <w:color w:val="262626" w:themeColor="text1" w:themeTint="D9"/>
          <w:lang w:val="sr-Latn-CS"/>
        </w:rPr>
        <w:t xml:space="preserve"> ССС разних области, </w:t>
      </w:r>
      <w:r w:rsidRPr="00A67481">
        <w:rPr>
          <w:noProof/>
          <w:color w:val="262626" w:themeColor="text1" w:themeTint="D9"/>
        </w:rPr>
        <w:t>4</w:t>
      </w:r>
      <w:r w:rsidRPr="00A67481">
        <w:rPr>
          <w:noProof/>
          <w:color w:val="262626" w:themeColor="text1" w:themeTint="D9"/>
          <w:lang w:val="sr-Latn-CS"/>
        </w:rPr>
        <w:t xml:space="preserve"> НК радника</w:t>
      </w:r>
      <w:r w:rsidRPr="00A67481">
        <w:rPr>
          <w:noProof/>
          <w:color w:val="262626" w:themeColor="text1" w:themeTint="D9"/>
        </w:rPr>
        <w:t xml:space="preserve">, </w:t>
      </w:r>
      <w:r w:rsidRPr="00A67481">
        <w:rPr>
          <w:noProof/>
          <w:color w:val="262626" w:themeColor="text1" w:themeTint="D9"/>
          <w:lang w:val="sr-Latn-CS"/>
        </w:rPr>
        <w:t>за разлику од 31.12.201</w:t>
      </w:r>
      <w:r w:rsidR="00A132C5" w:rsidRPr="00A67481">
        <w:rPr>
          <w:noProof/>
          <w:color w:val="262626" w:themeColor="text1" w:themeTint="D9"/>
          <w:lang w:val="sr-Cyrl-BA"/>
        </w:rPr>
        <w:t>7</w:t>
      </w:r>
      <w:r w:rsidRPr="00A67481">
        <w:rPr>
          <w:noProof/>
          <w:color w:val="262626" w:themeColor="text1" w:themeTint="D9"/>
          <w:lang w:val="sr-Latn-CS"/>
        </w:rPr>
        <w:t xml:space="preserve">. </w:t>
      </w:r>
      <w:r w:rsidRPr="00A67481">
        <w:rPr>
          <w:noProof/>
          <w:color w:val="262626" w:themeColor="text1" w:themeTint="D9"/>
        </w:rPr>
        <w:t xml:space="preserve">године </w:t>
      </w:r>
      <w:r w:rsidRPr="00A67481">
        <w:rPr>
          <w:noProof/>
          <w:color w:val="262626" w:themeColor="text1" w:themeTint="D9"/>
          <w:lang w:val="sr-Latn-CS"/>
        </w:rPr>
        <w:t xml:space="preserve">када је имала укупно </w:t>
      </w:r>
      <w:r w:rsidR="003668CE" w:rsidRPr="00A67481">
        <w:rPr>
          <w:noProof/>
          <w:color w:val="262626" w:themeColor="text1" w:themeTint="D9"/>
          <w:lang w:val="sr-Cyrl-BA"/>
        </w:rPr>
        <w:t>54</w:t>
      </w:r>
      <w:r w:rsidRPr="00A67481">
        <w:rPr>
          <w:noProof/>
          <w:color w:val="262626" w:themeColor="text1" w:themeTint="D9"/>
          <w:lang w:val="sr-Latn-CS"/>
        </w:rPr>
        <w:t xml:space="preserve"> радника.</w:t>
      </w:r>
    </w:p>
    <w:p w:rsidR="00AF6FFE" w:rsidRPr="00A67481" w:rsidRDefault="00AF6FFE" w:rsidP="00864E2B">
      <w:pPr>
        <w:jc w:val="both"/>
        <w:rPr>
          <w:color w:val="262626" w:themeColor="text1" w:themeTint="D9"/>
          <w:lang w:val="sr-Cyrl-CS"/>
        </w:rPr>
      </w:pPr>
    </w:p>
    <w:p w:rsidR="00AF6FFE" w:rsidRPr="00A67481" w:rsidRDefault="00AF6FFE" w:rsidP="00AF6FFE">
      <w:pPr>
        <w:pStyle w:val="BodyText"/>
        <w:rPr>
          <w:noProof/>
          <w:color w:val="262626" w:themeColor="text1" w:themeTint="D9"/>
          <w:lang w:val="sr-Latn-CS"/>
        </w:rPr>
      </w:pPr>
      <w:r w:rsidRPr="00A67481">
        <w:rPr>
          <w:noProof/>
          <w:color w:val="262626" w:themeColor="text1" w:themeTint="D9"/>
          <w:lang w:val="sr-Latn-CS"/>
        </w:rPr>
        <w:t xml:space="preserve">Предузеће је </w:t>
      </w:r>
      <w:r w:rsidRPr="00A67481">
        <w:rPr>
          <w:noProof/>
          <w:color w:val="262626" w:themeColor="text1" w:themeTint="D9"/>
        </w:rPr>
        <w:t>у</w:t>
      </w:r>
      <w:r w:rsidRPr="00A67481">
        <w:rPr>
          <w:noProof/>
          <w:color w:val="262626" w:themeColor="text1" w:themeTint="D9"/>
          <w:lang w:val="sr-Latn-CS"/>
        </w:rPr>
        <w:t xml:space="preserve"> 201</w:t>
      </w:r>
      <w:r w:rsidR="00EB455B" w:rsidRPr="00A67481">
        <w:rPr>
          <w:noProof/>
          <w:color w:val="262626" w:themeColor="text1" w:themeTint="D9"/>
          <w:lang w:val="sr-Latn-BA"/>
        </w:rPr>
        <w:t>8</w:t>
      </w:r>
      <w:r w:rsidRPr="00A67481">
        <w:rPr>
          <w:noProof/>
          <w:color w:val="262626" w:themeColor="text1" w:themeTint="D9"/>
          <w:lang w:val="sr-Latn-CS"/>
        </w:rPr>
        <w:t>. годин</w:t>
      </w:r>
      <w:r w:rsidRPr="00A67481">
        <w:rPr>
          <w:noProof/>
          <w:color w:val="262626" w:themeColor="text1" w:themeTint="D9"/>
        </w:rPr>
        <w:t>и</w:t>
      </w:r>
      <w:r w:rsidRPr="00A67481">
        <w:rPr>
          <w:noProof/>
          <w:color w:val="262626" w:themeColor="text1" w:themeTint="D9"/>
          <w:lang w:val="sr-Latn-CS"/>
        </w:rPr>
        <w:t xml:space="preserve"> било организовано у два сектора, и то: Технички сектор</w:t>
      </w:r>
      <w:r w:rsidRPr="00A67481">
        <w:rPr>
          <w:noProof/>
          <w:color w:val="262626" w:themeColor="text1" w:themeTint="D9"/>
        </w:rPr>
        <w:t xml:space="preserve"> и</w:t>
      </w:r>
      <w:r w:rsidRPr="00A67481">
        <w:rPr>
          <w:noProof/>
          <w:color w:val="262626" w:themeColor="text1" w:themeTint="D9"/>
          <w:lang w:val="sr-Latn-CS"/>
        </w:rPr>
        <w:t xml:space="preserve"> Сектор за економско - правне послове, градско грађевинско земљиште и саобраћај.</w:t>
      </w:r>
    </w:p>
    <w:p w:rsidR="00AF6FFE" w:rsidRPr="00A67481" w:rsidRDefault="00AF6FFE" w:rsidP="00AF6FFE">
      <w:pPr>
        <w:rPr>
          <w:color w:val="262626" w:themeColor="text1" w:themeTint="D9"/>
          <w:lang w:val="sr-Cyrl-CS"/>
        </w:rPr>
      </w:pPr>
    </w:p>
    <w:p w:rsidR="00003DE3" w:rsidRDefault="00003DE3" w:rsidP="00AF6FFE">
      <w:pPr>
        <w:rPr>
          <w:color w:val="262626" w:themeColor="text1" w:themeTint="D9"/>
          <w:lang w:val="sr-Cyrl-CS"/>
        </w:rPr>
      </w:pPr>
    </w:p>
    <w:p w:rsidR="00AF6FFE" w:rsidRPr="00A67481" w:rsidRDefault="00AF6FFE" w:rsidP="00AF6FFE">
      <w:pPr>
        <w:rPr>
          <w:color w:val="262626" w:themeColor="text1" w:themeTint="D9"/>
          <w:lang w:val="sr-Cyrl-CS"/>
        </w:rPr>
      </w:pPr>
      <w:r w:rsidRPr="00A67481">
        <w:rPr>
          <w:color w:val="262626" w:themeColor="text1" w:themeTint="D9"/>
          <w:lang w:val="sr-Cyrl-CS"/>
        </w:rPr>
        <w:lastRenderedPageBreak/>
        <w:t>Технички сектор у свом саставу садржи :</w:t>
      </w:r>
    </w:p>
    <w:p w:rsidR="00AF6FFE" w:rsidRPr="00A67481" w:rsidRDefault="00AF6FFE" w:rsidP="00AF6FFE">
      <w:pPr>
        <w:rPr>
          <w:color w:val="262626" w:themeColor="text1" w:themeTint="D9"/>
          <w:lang w:val="sr-Cyrl-CS"/>
        </w:rPr>
      </w:pPr>
    </w:p>
    <w:p w:rsidR="00AF6FFE" w:rsidRPr="00A67481" w:rsidRDefault="00AF6FFE" w:rsidP="00AF6FFE">
      <w:pPr>
        <w:numPr>
          <w:ilvl w:val="0"/>
          <w:numId w:val="14"/>
        </w:numPr>
        <w:rPr>
          <w:color w:val="262626" w:themeColor="text1" w:themeTint="D9"/>
          <w:lang w:val="sr-Cyrl-CS"/>
        </w:rPr>
      </w:pPr>
      <w:r w:rsidRPr="00A67481">
        <w:rPr>
          <w:color w:val="262626" w:themeColor="text1" w:themeTint="D9"/>
          <w:lang w:val="sr-Cyrl-CS"/>
        </w:rPr>
        <w:t xml:space="preserve">Службу за просторно планирање и пројектовање </w:t>
      </w:r>
    </w:p>
    <w:p w:rsidR="00AF6FFE" w:rsidRPr="00A67481" w:rsidRDefault="00AF6FFE" w:rsidP="00AF6FFE">
      <w:pPr>
        <w:numPr>
          <w:ilvl w:val="0"/>
          <w:numId w:val="14"/>
        </w:numPr>
        <w:rPr>
          <w:color w:val="262626" w:themeColor="text1" w:themeTint="D9"/>
          <w:lang w:val="sr-Cyrl-CS"/>
        </w:rPr>
      </w:pPr>
      <w:r w:rsidRPr="00A67481">
        <w:rPr>
          <w:color w:val="262626" w:themeColor="text1" w:themeTint="D9"/>
          <w:lang w:val="sr-Cyrl-CS"/>
        </w:rPr>
        <w:t>Службу за пројектовање, ревизију и надзор</w:t>
      </w:r>
    </w:p>
    <w:p w:rsidR="00AF6FFE" w:rsidRPr="00A67481" w:rsidRDefault="00AF6FFE" w:rsidP="00AF6FFE">
      <w:pPr>
        <w:jc w:val="both"/>
        <w:rPr>
          <w:color w:val="262626" w:themeColor="text1" w:themeTint="D9"/>
          <w:lang w:val="sr-Cyrl-CS"/>
        </w:rPr>
      </w:pPr>
    </w:p>
    <w:p w:rsidR="00AF6FFE" w:rsidRPr="00A67481" w:rsidRDefault="00AF6FFE" w:rsidP="00AF6FFE">
      <w:pPr>
        <w:jc w:val="both"/>
        <w:rPr>
          <w:color w:val="262626" w:themeColor="text1" w:themeTint="D9"/>
          <w:lang w:val="sr-Cyrl-CS"/>
        </w:rPr>
      </w:pPr>
      <w:r w:rsidRPr="00A67481">
        <w:rPr>
          <w:color w:val="262626" w:themeColor="text1" w:themeTint="D9"/>
          <w:lang w:val="sr-Cyrl-CS"/>
        </w:rPr>
        <w:t>док у саставу Сектора за економско-правне послове, грађевинско земљиште и саобраћај раде сљедеће службе:</w:t>
      </w:r>
    </w:p>
    <w:p w:rsidR="00AF6FFE" w:rsidRPr="00A67481" w:rsidRDefault="00AF6FFE" w:rsidP="00AF6FFE">
      <w:pPr>
        <w:ind w:left="540"/>
        <w:jc w:val="both"/>
        <w:rPr>
          <w:b/>
          <w:color w:val="262626" w:themeColor="text1" w:themeTint="D9"/>
          <w:lang w:val="sr-Cyrl-CS"/>
        </w:rPr>
      </w:pPr>
    </w:p>
    <w:p w:rsidR="00AF6FFE" w:rsidRPr="00A67481" w:rsidRDefault="00AF6FFE" w:rsidP="00AF6FFE">
      <w:pPr>
        <w:numPr>
          <w:ilvl w:val="0"/>
          <w:numId w:val="15"/>
        </w:numPr>
        <w:rPr>
          <w:color w:val="262626" w:themeColor="text1" w:themeTint="D9"/>
          <w:lang w:val="sr-Cyrl-CS"/>
        </w:rPr>
      </w:pPr>
      <w:r w:rsidRPr="00A67481">
        <w:rPr>
          <w:color w:val="262626" w:themeColor="text1" w:themeTint="D9"/>
          <w:lang w:val="sr-Cyrl-CS"/>
        </w:rPr>
        <w:t>Служба за рачуноводствене и финансијске послове</w:t>
      </w:r>
    </w:p>
    <w:p w:rsidR="00AF6FFE" w:rsidRPr="00A67481" w:rsidRDefault="00AF6FFE" w:rsidP="00AF6FFE">
      <w:pPr>
        <w:numPr>
          <w:ilvl w:val="0"/>
          <w:numId w:val="15"/>
        </w:numPr>
        <w:rPr>
          <w:color w:val="262626" w:themeColor="text1" w:themeTint="D9"/>
          <w:lang w:val="sr-Cyrl-CS"/>
        </w:rPr>
      </w:pPr>
      <w:r w:rsidRPr="00A67481">
        <w:rPr>
          <w:color w:val="262626" w:themeColor="text1" w:themeTint="D9"/>
          <w:lang w:val="sr-Cyrl-CS"/>
        </w:rPr>
        <w:t>Служба за кадровске и опште послове</w:t>
      </w:r>
    </w:p>
    <w:p w:rsidR="00AF6FFE" w:rsidRPr="00A67481" w:rsidRDefault="00AF6FFE" w:rsidP="00AF6FFE">
      <w:pPr>
        <w:numPr>
          <w:ilvl w:val="0"/>
          <w:numId w:val="15"/>
        </w:numPr>
        <w:rPr>
          <w:color w:val="262626" w:themeColor="text1" w:themeTint="D9"/>
          <w:lang w:val="sr-Cyrl-CS"/>
        </w:rPr>
      </w:pPr>
      <w:r w:rsidRPr="00A67481">
        <w:rPr>
          <w:color w:val="262626" w:themeColor="text1" w:themeTint="D9"/>
          <w:lang w:val="sr-Cyrl-CS"/>
        </w:rPr>
        <w:t>Служба спортско-рекреативних објеката</w:t>
      </w:r>
    </w:p>
    <w:p w:rsidR="00AF6FFE" w:rsidRPr="00A67481" w:rsidRDefault="00AF6FFE" w:rsidP="00AF6FFE">
      <w:pPr>
        <w:numPr>
          <w:ilvl w:val="0"/>
          <w:numId w:val="15"/>
        </w:numPr>
        <w:rPr>
          <w:color w:val="262626" w:themeColor="text1" w:themeTint="D9"/>
          <w:lang w:val="sr-Cyrl-CS"/>
        </w:rPr>
      </w:pPr>
      <w:r w:rsidRPr="00A67481">
        <w:rPr>
          <w:color w:val="262626" w:themeColor="text1" w:themeTint="D9"/>
          <w:lang w:val="sr-Cyrl-CS"/>
        </w:rPr>
        <w:t>Служба за уређење грађевинског земљишта и имовинско-правне послове</w:t>
      </w:r>
    </w:p>
    <w:p w:rsidR="00AF6FFE" w:rsidRPr="00A67481" w:rsidRDefault="00AF6FFE" w:rsidP="00AF6FFE">
      <w:pPr>
        <w:numPr>
          <w:ilvl w:val="0"/>
          <w:numId w:val="15"/>
        </w:numPr>
        <w:rPr>
          <w:color w:val="262626" w:themeColor="text1" w:themeTint="D9"/>
          <w:lang w:val="sr-Cyrl-CS"/>
        </w:rPr>
      </w:pPr>
      <w:r w:rsidRPr="00A67481">
        <w:rPr>
          <w:color w:val="262626" w:themeColor="text1" w:themeTint="D9"/>
          <w:lang w:val="sr-Cyrl-CS"/>
        </w:rPr>
        <w:t>Служба за управљање јавним паркиралиштима</w:t>
      </w:r>
    </w:p>
    <w:p w:rsidR="00AF6FFE" w:rsidRPr="00A67481" w:rsidRDefault="00AF6FFE" w:rsidP="00AF6FFE">
      <w:pPr>
        <w:pStyle w:val="BodyText"/>
        <w:rPr>
          <w:b/>
          <w:bCs/>
          <w:noProof/>
          <w:color w:val="262626" w:themeColor="text1" w:themeTint="D9"/>
          <w:lang w:val="sr-Latn-CS"/>
        </w:rPr>
      </w:pPr>
    </w:p>
    <w:p w:rsidR="0078490C" w:rsidRPr="0099319E" w:rsidRDefault="0078490C" w:rsidP="0078490C">
      <w:pPr>
        <w:pStyle w:val="BodyText"/>
        <w:rPr>
          <w:b/>
          <w:bCs/>
          <w:lang w:val="sr-Cyrl-BA"/>
        </w:rPr>
      </w:pPr>
      <w:r w:rsidRPr="0099319E">
        <w:rPr>
          <w:b/>
          <w:bCs/>
        </w:rPr>
        <w:t>1)</w:t>
      </w:r>
      <w:r w:rsidRPr="0099319E">
        <w:rPr>
          <w:b/>
          <w:bCs/>
          <w:lang w:val="sr-Latn-CS"/>
        </w:rPr>
        <w:t xml:space="preserve"> </w:t>
      </w:r>
      <w:r w:rsidRPr="0099319E">
        <w:rPr>
          <w:b/>
          <w:bCs/>
        </w:rPr>
        <w:t>ТЕХНИЧКИ СЕКТОР</w:t>
      </w:r>
    </w:p>
    <w:p w:rsidR="0078490C" w:rsidRDefault="0078490C" w:rsidP="0078490C">
      <w:pPr>
        <w:pStyle w:val="BodyText"/>
        <w:ind w:right="-108"/>
        <w:rPr>
          <w:lang w:val="ru-RU"/>
        </w:rPr>
      </w:pPr>
    </w:p>
    <w:p w:rsidR="0078490C" w:rsidRPr="0099319E" w:rsidRDefault="0078490C" w:rsidP="0078490C">
      <w:pPr>
        <w:pStyle w:val="BodyText"/>
        <w:ind w:right="-108"/>
      </w:pPr>
      <w:r w:rsidRPr="0099319E">
        <w:t xml:space="preserve">У оквиру Техничког сектора </w:t>
      </w:r>
      <w:r w:rsidRPr="0099319E">
        <w:rPr>
          <w:lang w:val="sr-Cyrl-BA"/>
        </w:rPr>
        <w:t xml:space="preserve">обављају се послови на </w:t>
      </w:r>
      <w:r w:rsidRPr="0099319E">
        <w:t>израд</w:t>
      </w:r>
      <w:r w:rsidRPr="0099319E">
        <w:rPr>
          <w:lang w:val="sr-Cyrl-BA"/>
        </w:rPr>
        <w:t>и</w:t>
      </w:r>
      <w:r w:rsidRPr="0099319E">
        <w:t xml:space="preserve"> просторно-планске документације </w:t>
      </w:r>
      <w:r w:rsidR="00A67481">
        <w:t>–</w:t>
      </w:r>
      <w:r w:rsidR="00A67481">
        <w:rPr>
          <w:lang w:val="sr-Cyrl-BA"/>
        </w:rPr>
        <w:t xml:space="preserve">просторних и урбанистичких планова, </w:t>
      </w:r>
      <w:r w:rsidRPr="0099319E">
        <w:t xml:space="preserve"> регулационих планова, </w:t>
      </w:r>
      <w:r>
        <w:t xml:space="preserve">зонинг планова, </w:t>
      </w:r>
      <w:r w:rsidRPr="0099319E">
        <w:t>урбанистичких пројеката, планова парцелације и урбанистичко-техничких услова</w:t>
      </w:r>
      <w:r>
        <w:t>,</w:t>
      </w:r>
      <w:r w:rsidRPr="0099319E">
        <w:t xml:space="preserve"> те израд</w:t>
      </w:r>
      <w:r w:rsidRPr="0099319E">
        <w:rPr>
          <w:lang w:val="sr-Cyrl-BA"/>
        </w:rPr>
        <w:t>а</w:t>
      </w:r>
      <w:r w:rsidRPr="0099319E">
        <w:t xml:space="preserve"> техничке документације за објекте нискоградње и високоградње</w:t>
      </w:r>
      <w:r w:rsidRPr="0099319E">
        <w:rPr>
          <w:lang w:val="sr-Cyrl-BA"/>
        </w:rPr>
        <w:t xml:space="preserve"> свих нивоа, елабората, студија, </w:t>
      </w:r>
      <w:r w:rsidRPr="0099319E">
        <w:t>ревизије, надзор</w:t>
      </w:r>
      <w:r w:rsidRPr="0099319E">
        <w:rPr>
          <w:lang w:val="sr-Cyrl-BA"/>
        </w:rPr>
        <w:t>а</w:t>
      </w:r>
      <w:r w:rsidRPr="0099319E">
        <w:t xml:space="preserve"> и техничк</w:t>
      </w:r>
      <w:r w:rsidRPr="0099319E">
        <w:rPr>
          <w:lang w:val="sr-Cyrl-BA"/>
        </w:rPr>
        <w:t>их</w:t>
      </w:r>
      <w:r w:rsidRPr="0099319E">
        <w:t xml:space="preserve"> преглед</w:t>
      </w:r>
      <w:r w:rsidRPr="0099319E">
        <w:rPr>
          <w:lang w:val="sr-Cyrl-BA"/>
        </w:rPr>
        <w:t>а</w:t>
      </w:r>
      <w:r w:rsidRPr="0099319E">
        <w:t xml:space="preserve"> објеката</w:t>
      </w:r>
      <w:r w:rsidRPr="0099319E">
        <w:rPr>
          <w:lang w:val="sr-Cyrl-BA"/>
        </w:rPr>
        <w:t>, као и давање разних стручних мишљења, техничких рјешења</w:t>
      </w:r>
      <w:r w:rsidRPr="0099319E">
        <w:t xml:space="preserve">. </w:t>
      </w:r>
    </w:p>
    <w:p w:rsidR="0078490C" w:rsidRPr="0099319E" w:rsidRDefault="0078490C" w:rsidP="0078490C">
      <w:pPr>
        <w:pStyle w:val="BodyText"/>
        <w:ind w:right="-108"/>
      </w:pPr>
      <w:r w:rsidRPr="00167637">
        <w:t>У 201</w:t>
      </w:r>
      <w:r w:rsidR="00A67481">
        <w:rPr>
          <w:lang w:val="sr-Cyrl-BA"/>
        </w:rPr>
        <w:t>8</w:t>
      </w:r>
      <w:r w:rsidRPr="00167637">
        <w:t xml:space="preserve">. години у оквиру Техничког сектора распоређено је укупно </w:t>
      </w:r>
      <w:r w:rsidRPr="00167637">
        <w:rPr>
          <w:lang w:val="sr-Cyrl-BA"/>
        </w:rPr>
        <w:t>1</w:t>
      </w:r>
      <w:r w:rsidR="00A67481">
        <w:rPr>
          <w:lang w:val="sr-Cyrl-BA"/>
        </w:rPr>
        <w:t>9</w:t>
      </w:r>
      <w:r w:rsidRPr="00167637">
        <w:rPr>
          <w:lang w:val="sr-Cyrl-BA"/>
        </w:rPr>
        <w:t xml:space="preserve"> </w:t>
      </w:r>
      <w:r w:rsidRPr="00167637">
        <w:t>извршилаца,</w:t>
      </w:r>
      <w:r w:rsidRPr="0099319E">
        <w:t xml:space="preserve"> </w:t>
      </w:r>
      <w:r>
        <w:t xml:space="preserve">укључујући </w:t>
      </w:r>
      <w:r w:rsidRPr="0099319E">
        <w:t>шефов</w:t>
      </w:r>
      <w:r>
        <w:t>е</w:t>
      </w:r>
      <w:r w:rsidRPr="0099319E">
        <w:t xml:space="preserve"> </w:t>
      </w:r>
      <w:r>
        <w:t>служби</w:t>
      </w:r>
      <w:r w:rsidRPr="0099319E">
        <w:t>.</w:t>
      </w:r>
    </w:p>
    <w:p w:rsidR="0078490C" w:rsidRPr="00284AAF" w:rsidRDefault="0078490C" w:rsidP="0078490C">
      <w:pPr>
        <w:pStyle w:val="BodyText"/>
        <w:ind w:right="-108"/>
        <w:rPr>
          <w:b/>
          <w:bCs/>
          <w:lang w:val="sr-Latn-BA"/>
        </w:rPr>
      </w:pPr>
    </w:p>
    <w:p w:rsidR="0078490C" w:rsidRPr="00B13A8A" w:rsidRDefault="0078490C" w:rsidP="0078490C">
      <w:pPr>
        <w:pStyle w:val="BodyText"/>
        <w:ind w:right="-108"/>
        <w:rPr>
          <w:b/>
          <w:bCs/>
          <w:i/>
          <w:lang w:val="sr-Cyrl-BA"/>
        </w:rPr>
      </w:pPr>
      <w:r w:rsidRPr="001B51D4">
        <w:rPr>
          <w:b/>
          <w:bCs/>
          <w:i/>
        </w:rPr>
        <w:t>СЛУЖБА ЗА ПРОСТОРНО ПЛАНИРАЊЕ И ПРОЈЕКТОВАЊЕ</w:t>
      </w:r>
    </w:p>
    <w:p w:rsidR="0078490C" w:rsidRPr="00592944" w:rsidRDefault="0078490C" w:rsidP="0078490C">
      <w:pPr>
        <w:pStyle w:val="BodyText"/>
        <w:ind w:right="-108"/>
        <w:rPr>
          <w:b/>
          <w:bCs/>
          <w:color w:val="FF0000"/>
        </w:rPr>
      </w:pPr>
    </w:p>
    <w:p w:rsidR="0078490C" w:rsidRPr="00B13A8A" w:rsidRDefault="0078490C" w:rsidP="0078490C">
      <w:pPr>
        <w:ind w:right="-108"/>
        <w:jc w:val="both"/>
        <w:rPr>
          <w:lang w:val="sr-Cyrl-CS"/>
        </w:rPr>
      </w:pPr>
      <w:r w:rsidRPr="00592944">
        <w:rPr>
          <w:color w:val="FF0000"/>
          <w:lang w:val="sr-Cyrl-CS"/>
        </w:rPr>
        <w:tab/>
      </w:r>
      <w:r w:rsidRPr="00B13A8A">
        <w:rPr>
          <w:lang w:val="sr-Cyrl-CS"/>
        </w:rPr>
        <w:t xml:space="preserve">У оквиру </w:t>
      </w:r>
      <w:r w:rsidRPr="00B13A8A">
        <w:rPr>
          <w:lang w:val="sr-Cyrl-BA"/>
        </w:rPr>
        <w:t>Службе</w:t>
      </w:r>
      <w:r w:rsidRPr="00B13A8A">
        <w:rPr>
          <w:lang w:val="sr-Cyrl-CS"/>
        </w:rPr>
        <w:t xml:space="preserve"> за просторно планирање распоређено је, према новој систематизацији </w:t>
      </w:r>
      <w:r w:rsidR="00A67481">
        <w:rPr>
          <w:lang w:val="sr-Cyrl-CS"/>
        </w:rPr>
        <w:t>–</w:t>
      </w:r>
      <w:r w:rsidRPr="00B13A8A">
        <w:rPr>
          <w:lang w:val="sr-Cyrl-CS"/>
        </w:rPr>
        <w:t xml:space="preserve"> </w:t>
      </w:r>
      <w:r w:rsidR="00A67481">
        <w:rPr>
          <w:lang w:val="sr-Cyrl-BA"/>
        </w:rPr>
        <w:t xml:space="preserve">10 </w:t>
      </w:r>
      <w:r w:rsidRPr="00B13A8A">
        <w:rPr>
          <w:lang w:val="sr-Cyrl-CS"/>
        </w:rPr>
        <w:t xml:space="preserve"> извршилаца, заједно са руководиоцем - шефом службе. </w:t>
      </w:r>
    </w:p>
    <w:p w:rsidR="0078490C" w:rsidRPr="00B13A8A" w:rsidRDefault="0078490C" w:rsidP="0078490C">
      <w:pPr>
        <w:ind w:firstLine="720"/>
        <w:jc w:val="both"/>
        <w:rPr>
          <w:lang w:val="sr-Cyrl-CS"/>
        </w:rPr>
      </w:pPr>
      <w:r w:rsidRPr="00B13A8A">
        <w:rPr>
          <w:lang w:val="ru-RU"/>
        </w:rPr>
        <w:t>У периоду од 01.01.201</w:t>
      </w:r>
      <w:r>
        <w:t>8</w:t>
      </w:r>
      <w:r w:rsidRPr="00B13A8A">
        <w:rPr>
          <w:lang w:val="ru-RU"/>
        </w:rPr>
        <w:t>. до 3</w:t>
      </w:r>
      <w:r>
        <w:rPr>
          <w:lang w:val="ru-RU"/>
        </w:rPr>
        <w:t>1</w:t>
      </w:r>
      <w:r w:rsidRPr="00B13A8A">
        <w:rPr>
          <w:lang w:val="ru-RU"/>
        </w:rPr>
        <w:t>.</w:t>
      </w:r>
      <w:r>
        <w:rPr>
          <w:lang w:val="ru-RU"/>
        </w:rPr>
        <w:t>12</w:t>
      </w:r>
      <w:r w:rsidRPr="00B13A8A">
        <w:rPr>
          <w:lang w:val="ru-RU"/>
        </w:rPr>
        <w:t>.201</w:t>
      </w:r>
      <w:r>
        <w:t>8</w:t>
      </w:r>
      <w:r w:rsidRPr="00B13A8A">
        <w:rPr>
          <w:lang w:val="ru-RU"/>
        </w:rPr>
        <w:t>. године,</w:t>
      </w:r>
      <w:r w:rsidRPr="00B13A8A">
        <w:rPr>
          <w:lang w:val="sr-Cyrl-CS"/>
        </w:rPr>
        <w:t xml:space="preserve"> ова  служба је обављала послове на изради просторно-планске документације, припреми аналитичко-документационе основе за израду просторно-планске документације, као и припреми и изради информација из ове области, изради </w:t>
      </w:r>
      <w:r w:rsidRPr="00B13A8A">
        <w:rPr>
          <w:lang w:val="ru-RU"/>
        </w:rPr>
        <w:t>урбанистичко-техничких услова и стручних мишљења у оквиру поступка издавања локацијских услова, изради стручних мишљења и урбанистичко-техничких услова у поступку легализације, припреми пројектних задатака и стручних мишљења везаних за област просторног планирања као и других послова из свог дјелокруга рада</w:t>
      </w:r>
    </w:p>
    <w:p w:rsidR="0078490C" w:rsidRPr="00B13A8A" w:rsidRDefault="0078490C" w:rsidP="0078490C">
      <w:pPr>
        <w:ind w:right="-108"/>
        <w:jc w:val="both"/>
        <w:rPr>
          <w:lang w:val="sr-Cyrl-CS"/>
        </w:rPr>
      </w:pPr>
      <w:r w:rsidRPr="00B13A8A">
        <w:rPr>
          <w:lang w:val="sr-Cyrl-CS"/>
        </w:rPr>
        <w:t>У наведеном периоду обављени су следећи послови:</w:t>
      </w:r>
    </w:p>
    <w:p w:rsidR="0078490C" w:rsidRPr="00B13A8A" w:rsidRDefault="0078490C" w:rsidP="0078490C">
      <w:pPr>
        <w:ind w:right="-108"/>
        <w:jc w:val="both"/>
        <w:rPr>
          <w:lang w:val="sr-Cyrl-CS"/>
        </w:rPr>
      </w:pPr>
    </w:p>
    <w:p w:rsidR="0078490C" w:rsidRPr="00B13A8A" w:rsidRDefault="0078490C" w:rsidP="0078490C">
      <w:pPr>
        <w:ind w:right="-108"/>
        <w:jc w:val="both"/>
        <w:rPr>
          <w:b/>
        </w:rPr>
      </w:pPr>
      <w:r w:rsidRPr="00B13A8A">
        <w:rPr>
          <w:b/>
          <w:u w:val="single"/>
          <w:lang w:val="sr-Cyrl-CS"/>
        </w:rPr>
        <w:t>а/ Израда докумената просторног уређења</w:t>
      </w:r>
      <w:r w:rsidRPr="00B13A8A">
        <w:rPr>
          <w:b/>
          <w:lang w:val="sr-Cyrl-CS"/>
        </w:rPr>
        <w:t xml:space="preserve">: </w:t>
      </w:r>
    </w:p>
    <w:p w:rsidR="0078490C" w:rsidRDefault="0078490C" w:rsidP="0078490C">
      <w:pPr>
        <w:jc w:val="both"/>
        <w:rPr>
          <w:b/>
          <w:lang w:val="sr-Cyrl-CS"/>
        </w:rPr>
      </w:pPr>
    </w:p>
    <w:p w:rsidR="0078490C" w:rsidRPr="00AB707A" w:rsidRDefault="0078490C" w:rsidP="0078490C">
      <w:pPr>
        <w:jc w:val="both"/>
        <w:rPr>
          <w:lang w:val="sr-Cyrl-CS"/>
        </w:rPr>
      </w:pPr>
    </w:p>
    <w:p w:rsidR="0078490C" w:rsidRPr="00AB707A" w:rsidRDefault="0078490C" w:rsidP="0078490C">
      <w:pPr>
        <w:numPr>
          <w:ilvl w:val="0"/>
          <w:numId w:val="37"/>
        </w:numPr>
        <w:jc w:val="both"/>
        <w:rPr>
          <w:lang w:val="sr-Cyrl-CS"/>
        </w:rPr>
      </w:pPr>
      <w:r w:rsidRPr="00AB707A">
        <w:rPr>
          <w:lang w:val="sr-Latn-BA"/>
        </w:rPr>
        <w:t xml:space="preserve">Израда </w:t>
      </w:r>
      <w:r>
        <w:t>Просторног плана Града Бијељина</w:t>
      </w:r>
      <w:r w:rsidRPr="00AB707A">
        <w:t xml:space="preserve"> - носилац припреме и доношења плана - Град Бијељина</w:t>
      </w:r>
    </w:p>
    <w:p w:rsidR="0078490C" w:rsidRPr="00AB707A" w:rsidRDefault="0078490C" w:rsidP="0078490C">
      <w:pPr>
        <w:numPr>
          <w:ilvl w:val="1"/>
          <w:numId w:val="37"/>
        </w:numPr>
        <w:jc w:val="both"/>
        <w:rPr>
          <w:lang w:val="sr-Cyrl-CS"/>
        </w:rPr>
      </w:pPr>
      <w:r w:rsidRPr="00AB707A">
        <w:t xml:space="preserve">план </w:t>
      </w:r>
      <w:r>
        <w:t>у фази приједлога испоручен наручиоцу</w:t>
      </w:r>
      <w:r w:rsidRPr="00AB707A">
        <w:rPr>
          <w:lang w:val="sr-Cyrl-CS"/>
        </w:rPr>
        <w:t xml:space="preserve"> </w:t>
      </w:r>
    </w:p>
    <w:p w:rsidR="0078490C" w:rsidRPr="00AB707A" w:rsidRDefault="0078490C" w:rsidP="0078490C">
      <w:pPr>
        <w:jc w:val="both"/>
        <w:rPr>
          <w:lang w:val="sr-Cyrl-CS"/>
        </w:rPr>
      </w:pPr>
    </w:p>
    <w:p w:rsidR="0078490C" w:rsidRPr="00AB707A" w:rsidRDefault="0078490C" w:rsidP="0078490C">
      <w:pPr>
        <w:numPr>
          <w:ilvl w:val="0"/>
          <w:numId w:val="37"/>
        </w:numPr>
        <w:jc w:val="both"/>
        <w:rPr>
          <w:lang w:val="sr-Cyrl-CS"/>
        </w:rPr>
      </w:pPr>
      <w:r w:rsidRPr="00AB707A">
        <w:rPr>
          <w:lang w:val="sr-Latn-BA"/>
        </w:rPr>
        <w:t xml:space="preserve">Израда </w:t>
      </w:r>
      <w:r w:rsidRPr="00AB707A">
        <w:t>Регулационог плана "</w:t>
      </w:r>
      <w:r>
        <w:t>Центар града</w:t>
      </w:r>
      <w:r w:rsidRPr="00AB707A">
        <w:t>" у Бијељини - носилац припреме и доношења плана - Град Бијељина</w:t>
      </w:r>
    </w:p>
    <w:p w:rsidR="0078490C" w:rsidRPr="00AB707A" w:rsidRDefault="0078490C" w:rsidP="0078490C">
      <w:pPr>
        <w:numPr>
          <w:ilvl w:val="1"/>
          <w:numId w:val="37"/>
        </w:numPr>
        <w:jc w:val="both"/>
        <w:rPr>
          <w:lang w:val="sr-Cyrl-CS"/>
        </w:rPr>
      </w:pPr>
      <w:r w:rsidRPr="00AB707A">
        <w:t>план усвојен</w:t>
      </w:r>
      <w:r w:rsidRPr="00AB707A">
        <w:rPr>
          <w:lang w:val="sr-Cyrl-CS"/>
        </w:rPr>
        <w:t xml:space="preserve"> </w:t>
      </w:r>
    </w:p>
    <w:p w:rsidR="0078490C" w:rsidRDefault="0078490C" w:rsidP="0078490C">
      <w:pPr>
        <w:jc w:val="both"/>
        <w:rPr>
          <w:lang w:val="sr-Latn-BA"/>
        </w:rPr>
      </w:pPr>
    </w:p>
    <w:p w:rsidR="00C71FD4" w:rsidRDefault="00C71FD4" w:rsidP="0078490C">
      <w:pPr>
        <w:jc w:val="both"/>
        <w:rPr>
          <w:lang w:val="sr-Latn-BA"/>
        </w:rPr>
      </w:pPr>
    </w:p>
    <w:p w:rsidR="00C71FD4" w:rsidRPr="00C71FD4" w:rsidRDefault="00C71FD4" w:rsidP="0078490C">
      <w:pPr>
        <w:jc w:val="both"/>
        <w:rPr>
          <w:lang w:val="sr-Latn-BA"/>
        </w:rPr>
      </w:pPr>
    </w:p>
    <w:p w:rsidR="0078490C" w:rsidRPr="00AB707A" w:rsidRDefault="0078490C" w:rsidP="0078490C">
      <w:pPr>
        <w:ind w:left="1080"/>
        <w:jc w:val="both"/>
        <w:rPr>
          <w:lang w:val="sr-Cyrl-BA"/>
        </w:rPr>
      </w:pPr>
    </w:p>
    <w:p w:rsidR="0078490C" w:rsidRPr="00AB707A" w:rsidRDefault="0078490C" w:rsidP="0078490C">
      <w:pPr>
        <w:tabs>
          <w:tab w:val="left" w:pos="6061"/>
        </w:tabs>
        <w:ind w:right="-108"/>
        <w:jc w:val="both"/>
        <w:rPr>
          <w:b/>
          <w:u w:val="single"/>
          <w:lang w:val="sr-Cyrl-CS"/>
        </w:rPr>
      </w:pPr>
      <w:r w:rsidRPr="00AB707A">
        <w:rPr>
          <w:b/>
          <w:u w:val="single"/>
          <w:lang w:val="sr-Cyrl-CS"/>
        </w:rPr>
        <w:t>б/ Израда стручних мишљења и урбанистичко-техничких услова</w:t>
      </w:r>
    </w:p>
    <w:p w:rsidR="0078490C" w:rsidRPr="00AB707A" w:rsidRDefault="0078490C" w:rsidP="0078490C">
      <w:pPr>
        <w:tabs>
          <w:tab w:val="left" w:pos="6061"/>
        </w:tabs>
        <w:ind w:right="-108"/>
        <w:jc w:val="both"/>
        <w:rPr>
          <w:lang w:val="sr-Cyrl-CS"/>
        </w:rPr>
      </w:pPr>
    </w:p>
    <w:p w:rsidR="0078490C" w:rsidRPr="00B13A8A" w:rsidRDefault="0078490C" w:rsidP="0078490C">
      <w:pPr>
        <w:tabs>
          <w:tab w:val="left" w:pos="6061"/>
        </w:tabs>
        <w:ind w:right="-108"/>
        <w:jc w:val="both"/>
        <w:rPr>
          <w:b/>
          <w:lang w:val="sr-Cyrl-CS"/>
        </w:rPr>
      </w:pPr>
      <w:r w:rsidRPr="00B13A8A">
        <w:rPr>
          <w:lang w:val="sr-Cyrl-BA"/>
        </w:rPr>
        <w:t>У</w:t>
      </w:r>
      <w:r w:rsidRPr="00B13A8A">
        <w:rPr>
          <w:lang w:val="sr-Cyrl-CS"/>
        </w:rPr>
        <w:t xml:space="preserve"> периоду од 01.01.201</w:t>
      </w:r>
      <w:r>
        <w:t>8</w:t>
      </w:r>
      <w:r w:rsidRPr="00B13A8A">
        <w:rPr>
          <w:lang w:val="sr-Cyrl-CS"/>
        </w:rPr>
        <w:t>. до 31.12.201</w:t>
      </w:r>
      <w:r>
        <w:t>8</w:t>
      </w:r>
      <w:r w:rsidRPr="00B13A8A">
        <w:rPr>
          <w:lang w:val="sr-Cyrl-CS"/>
        </w:rPr>
        <w:t xml:space="preserve">. године </w:t>
      </w:r>
      <w:r w:rsidRPr="00B13A8A">
        <w:rPr>
          <w:lang w:val="sr-Cyrl-BA"/>
        </w:rPr>
        <w:t>запримљено</w:t>
      </w:r>
      <w:r w:rsidRPr="00B13A8A">
        <w:rPr>
          <w:lang w:val="sr-Cyrl-CS"/>
        </w:rPr>
        <w:t xml:space="preserve"> је</w:t>
      </w:r>
      <w:r w:rsidRPr="00B13A8A">
        <w:rPr>
          <w:b/>
          <w:lang w:val="sr-Cyrl-CS"/>
        </w:rPr>
        <w:t xml:space="preserve"> </w:t>
      </w:r>
      <w:r w:rsidRPr="00B13A8A">
        <w:rPr>
          <w:b/>
          <w:lang w:val="sr-Cyrl-BA"/>
        </w:rPr>
        <w:t xml:space="preserve">и урађено </w:t>
      </w:r>
      <w:r w:rsidRPr="00B13A8A">
        <w:rPr>
          <w:b/>
          <w:lang w:val="sr-Cyrl-CS"/>
        </w:rPr>
        <w:t xml:space="preserve">укупно </w:t>
      </w:r>
      <w:r>
        <w:rPr>
          <w:b/>
        </w:rPr>
        <w:t xml:space="preserve">534 </w:t>
      </w:r>
      <w:r w:rsidRPr="00B13A8A">
        <w:rPr>
          <w:b/>
          <w:lang w:val="sr-Cyrl-CS"/>
        </w:rPr>
        <w:t xml:space="preserve">предмета </w:t>
      </w:r>
      <w:r w:rsidRPr="00B13A8A">
        <w:rPr>
          <w:b/>
          <w:lang w:val="sr-Cyrl-BA"/>
        </w:rPr>
        <w:t xml:space="preserve">за </w:t>
      </w:r>
      <w:r w:rsidRPr="00B13A8A">
        <w:rPr>
          <w:b/>
          <w:lang w:val="sr-Cyrl-CS"/>
        </w:rPr>
        <w:t xml:space="preserve">подручје Града Бијељина, </w:t>
      </w:r>
      <w:r w:rsidRPr="00B13A8A">
        <w:rPr>
          <w:b/>
          <w:lang w:val="sr-Cyrl-BA"/>
        </w:rPr>
        <w:t>Зворника, Угљевика, Лопара и Доњег Жабара.</w:t>
      </w:r>
    </w:p>
    <w:p w:rsidR="0078490C" w:rsidRPr="00B13A8A" w:rsidRDefault="0078490C" w:rsidP="0078490C">
      <w:pPr>
        <w:ind w:right="-108"/>
        <w:jc w:val="both"/>
      </w:pPr>
    </w:p>
    <w:p w:rsidR="0078490C" w:rsidRPr="00B13A8A" w:rsidRDefault="0078490C" w:rsidP="0078490C">
      <w:pPr>
        <w:ind w:right="-108"/>
        <w:jc w:val="both"/>
        <w:rPr>
          <w:lang w:val="sr-Cyrl-CS"/>
        </w:rPr>
      </w:pPr>
      <w:r w:rsidRPr="00B13A8A">
        <w:rPr>
          <w:lang w:val="sr-Cyrl-CS"/>
        </w:rPr>
        <w:t xml:space="preserve">Поред горе наведених послова, поједина стручна лица ове службе су била ангажована и на изради техничке документације објеката високоградње и нискоградње разних нивоа и сложености, обављању послова надзора, контроле техничке документације, техничким прегледима објеката </w:t>
      </w:r>
      <w:r w:rsidRPr="00B13A8A">
        <w:rPr>
          <w:lang w:val="sr-Cyrl-BA"/>
        </w:rPr>
        <w:t>и других послова</w:t>
      </w:r>
      <w:r w:rsidRPr="00B13A8A">
        <w:rPr>
          <w:lang w:val="sr-Cyrl-CS"/>
        </w:rPr>
        <w:t xml:space="preserve"> из дјелокруга рада предузећа.</w:t>
      </w:r>
    </w:p>
    <w:p w:rsidR="0078490C" w:rsidRDefault="0078490C" w:rsidP="0078490C">
      <w:pPr>
        <w:ind w:right="-108"/>
        <w:jc w:val="both"/>
        <w:rPr>
          <w:lang w:val="sr-Cyrl-CS"/>
        </w:rPr>
      </w:pPr>
      <w:r w:rsidRPr="00B13A8A">
        <w:rPr>
          <w:lang w:val="sr-Cyrl-CS"/>
        </w:rPr>
        <w:t>Представници предузећа који су носици израде просторно-планске документације и урбанистичко-техничких услова су активно учествовали на међународном научно-стручном скупу „1</w:t>
      </w:r>
      <w:r>
        <w:rPr>
          <w:lang w:val="sr-Cyrl-CS"/>
        </w:rPr>
        <w:t>4</w:t>
      </w:r>
      <w:r w:rsidR="00A67481">
        <w:rPr>
          <w:lang w:val="sr-Cyrl-CS"/>
        </w:rPr>
        <w:t>.</w:t>
      </w:r>
      <w:r w:rsidRPr="00B13A8A">
        <w:rPr>
          <w:lang w:val="sr-Cyrl-CS"/>
        </w:rPr>
        <w:t xml:space="preserve"> љетна школа урбанизма“ – </w:t>
      </w:r>
      <w:r>
        <w:rPr>
          <w:lang w:val="sr-Cyrl-CS"/>
        </w:rPr>
        <w:t xml:space="preserve">Бијељина </w:t>
      </w:r>
      <w:r w:rsidRPr="00B13A8A">
        <w:rPr>
          <w:lang w:val="sr-Cyrl-CS"/>
        </w:rPr>
        <w:t>201</w:t>
      </w:r>
      <w:r>
        <w:rPr>
          <w:lang w:val="sr-Cyrl-CS"/>
        </w:rPr>
        <w:t>8, која је и одржана у Бијељини на нашу иницијативу и у нашој организацији</w:t>
      </w:r>
      <w:r w:rsidRPr="00B13A8A">
        <w:rPr>
          <w:lang w:val="sr-Cyrl-CS"/>
        </w:rPr>
        <w:t>, те на</w:t>
      </w:r>
      <w:r>
        <w:rPr>
          <w:lang w:val="sr-Cyrl-CS"/>
        </w:rPr>
        <w:t xml:space="preserve"> 27</w:t>
      </w:r>
      <w:r w:rsidR="00A67481">
        <w:rPr>
          <w:lang w:val="sr-Cyrl-CS"/>
        </w:rPr>
        <w:t>.</w:t>
      </w:r>
      <w:r w:rsidRPr="00B13A8A">
        <w:rPr>
          <w:lang w:val="sr-Cyrl-CS"/>
        </w:rPr>
        <w:t xml:space="preserve"> Салону урбанизма у </w:t>
      </w:r>
      <w:r>
        <w:rPr>
          <w:lang w:val="sr-Cyrl-CS"/>
        </w:rPr>
        <w:t xml:space="preserve">Руми. У оквиру Љетне школе урбанизма презентован је стручни рад „Урбанистички планови у Републици Српској“, док је на Салону урбанизма освојена прва награда у категорији Просторни планови градова и општина. </w:t>
      </w:r>
    </w:p>
    <w:p w:rsidR="0078490C" w:rsidRPr="00B13A8A" w:rsidRDefault="0078490C" w:rsidP="0078490C">
      <w:pPr>
        <w:ind w:right="-108"/>
        <w:jc w:val="both"/>
        <w:rPr>
          <w:lang w:val="sr-Cyrl-CS"/>
        </w:rPr>
      </w:pPr>
    </w:p>
    <w:p w:rsidR="0078490C" w:rsidRDefault="0078490C" w:rsidP="0078490C"/>
    <w:p w:rsidR="00AF6FFE" w:rsidRPr="001B51D4" w:rsidRDefault="00AF6FFE" w:rsidP="00AF6FFE">
      <w:pPr>
        <w:rPr>
          <w:b/>
          <w:i/>
          <w:lang w:val="sr-Cyrl-CS"/>
        </w:rPr>
      </w:pPr>
      <w:r w:rsidRPr="001B51D4">
        <w:rPr>
          <w:b/>
          <w:i/>
          <w:lang w:val="sr-Cyrl-CS"/>
        </w:rPr>
        <w:t>СЛУЖБА ЗА ПРОЈЕКТОВАЊЕ, РЕВИЗИЈУ И НАДЗОР</w:t>
      </w:r>
    </w:p>
    <w:p w:rsidR="00AF6FFE" w:rsidRPr="002E3E7E" w:rsidRDefault="00AF6FFE" w:rsidP="00AF6FFE">
      <w:pPr>
        <w:pStyle w:val="BodyText"/>
        <w:ind w:right="-108"/>
        <w:rPr>
          <w:b/>
          <w:bCs/>
          <w:lang w:val="sr-Cyrl-BA"/>
        </w:rPr>
      </w:pPr>
    </w:p>
    <w:p w:rsidR="0078490C" w:rsidRDefault="00AF6FFE" w:rsidP="0078490C">
      <w:pPr>
        <w:ind w:right="-108"/>
        <w:jc w:val="both"/>
        <w:rPr>
          <w:lang w:val="sr-Cyrl-CS"/>
        </w:rPr>
      </w:pPr>
      <w:r>
        <w:rPr>
          <w:lang w:val="ru-RU"/>
        </w:rPr>
        <w:tab/>
      </w:r>
      <w:r w:rsidR="0078490C" w:rsidRPr="00717066">
        <w:rPr>
          <w:lang w:val="ru-RU"/>
        </w:rPr>
        <w:t xml:space="preserve">У оквиру Техничког сектора, </w:t>
      </w:r>
      <w:r w:rsidR="0078490C">
        <w:rPr>
          <w:lang w:val="sr-Cyrl-CS"/>
        </w:rPr>
        <w:t>Служба</w:t>
      </w:r>
      <w:r w:rsidR="0078490C" w:rsidRPr="00717066">
        <w:rPr>
          <w:lang w:val="sr-Cyrl-CS"/>
        </w:rPr>
        <w:t xml:space="preserve"> за </w:t>
      </w:r>
      <w:r w:rsidR="0078490C" w:rsidRPr="00207716">
        <w:rPr>
          <w:bCs/>
          <w:lang w:val="sr-Cyrl-CS"/>
        </w:rPr>
        <w:t>пројектовање, ревизију и надзор</w:t>
      </w:r>
      <w:r w:rsidR="0078490C" w:rsidRPr="00717066">
        <w:rPr>
          <w:lang w:val="ru-RU"/>
        </w:rPr>
        <w:t xml:space="preserve"> је </w:t>
      </w:r>
      <w:r w:rsidR="0078490C" w:rsidRPr="00717066">
        <w:rPr>
          <w:lang w:val="sr-Cyrl-BA"/>
        </w:rPr>
        <w:t>обавља</w:t>
      </w:r>
      <w:r w:rsidR="0078490C" w:rsidRPr="00717066">
        <w:rPr>
          <w:lang w:val="sr-Cyrl-CS"/>
        </w:rPr>
        <w:t>л</w:t>
      </w:r>
      <w:r w:rsidR="0078490C">
        <w:rPr>
          <w:lang w:val="sr-Cyrl-CS"/>
        </w:rPr>
        <w:t>а с</w:t>
      </w:r>
      <w:r w:rsidR="00A67481">
        <w:rPr>
          <w:lang w:val="sr-Cyrl-CS"/>
        </w:rPr>
        <w:t>љ</w:t>
      </w:r>
      <w:r w:rsidR="0078490C">
        <w:rPr>
          <w:lang w:val="sr-Cyrl-CS"/>
        </w:rPr>
        <w:t>едеће</w:t>
      </w:r>
      <w:r w:rsidR="0078490C" w:rsidRPr="00717066">
        <w:rPr>
          <w:lang w:val="sr-Cyrl-CS"/>
        </w:rPr>
        <w:t xml:space="preserve"> </w:t>
      </w:r>
      <w:r w:rsidR="0078490C" w:rsidRPr="00717066">
        <w:rPr>
          <w:lang w:val="ru-RU"/>
        </w:rPr>
        <w:t>послов</w:t>
      </w:r>
      <w:r w:rsidR="0078490C" w:rsidRPr="00717066">
        <w:rPr>
          <w:lang w:val="sr-Cyrl-BA"/>
        </w:rPr>
        <w:t>е</w:t>
      </w:r>
      <w:r w:rsidR="0078490C">
        <w:rPr>
          <w:lang w:val="sr-Cyrl-BA"/>
        </w:rPr>
        <w:t>:</w:t>
      </w:r>
      <w:r w:rsidR="0078490C" w:rsidRPr="00717066">
        <w:rPr>
          <w:lang w:val="ru-RU"/>
        </w:rPr>
        <w:t xml:space="preserve"> </w:t>
      </w:r>
      <w:r w:rsidR="0078490C">
        <w:rPr>
          <w:lang w:val="sr-Cyrl-CS"/>
        </w:rPr>
        <w:t>надзор</w:t>
      </w:r>
      <w:r w:rsidR="0078490C" w:rsidRPr="00717066">
        <w:rPr>
          <w:lang w:val="sr-Cyrl-BA"/>
        </w:rPr>
        <w:t xml:space="preserve"> над извођењем радова на изградњи објеката високоградње, нискоградње</w:t>
      </w:r>
      <w:r w:rsidR="0078490C" w:rsidRPr="00717066">
        <w:rPr>
          <w:lang w:val="sr-Cyrl-CS"/>
        </w:rPr>
        <w:t xml:space="preserve"> и хидроградње,</w:t>
      </w:r>
      <w:r w:rsidR="0078490C" w:rsidRPr="00717066">
        <w:rPr>
          <w:lang w:val="ru-RU"/>
        </w:rPr>
        <w:t xml:space="preserve"> </w:t>
      </w:r>
      <w:r w:rsidR="0078490C" w:rsidRPr="00717066">
        <w:rPr>
          <w:lang w:val="sr-Cyrl-CS"/>
        </w:rPr>
        <w:t>ревизију, односно техничку контролу техничке документације,</w:t>
      </w:r>
      <w:r w:rsidR="0078490C" w:rsidRPr="00717066">
        <w:rPr>
          <w:lang w:val="ru-RU"/>
        </w:rPr>
        <w:t xml:space="preserve"> </w:t>
      </w:r>
      <w:r w:rsidR="0078490C" w:rsidRPr="00717066">
        <w:rPr>
          <w:lang w:val="sr-Cyrl-CS"/>
        </w:rPr>
        <w:t xml:space="preserve">техничке прегледе објеката, израду техничке документације и </w:t>
      </w:r>
      <w:r w:rsidR="0078490C">
        <w:rPr>
          <w:lang w:val="sr-Cyrl-CS"/>
        </w:rPr>
        <w:t xml:space="preserve">израду </w:t>
      </w:r>
      <w:r w:rsidR="0078490C" w:rsidRPr="00717066">
        <w:rPr>
          <w:lang w:val="sr-Cyrl-CS"/>
        </w:rPr>
        <w:t>стручн</w:t>
      </w:r>
      <w:r w:rsidR="0078490C">
        <w:rPr>
          <w:lang w:val="sr-Cyrl-CS"/>
        </w:rPr>
        <w:t>их</w:t>
      </w:r>
      <w:r w:rsidR="0078490C" w:rsidRPr="00717066">
        <w:rPr>
          <w:lang w:val="sr-Cyrl-CS"/>
        </w:rPr>
        <w:t xml:space="preserve"> мишљења и техничк</w:t>
      </w:r>
      <w:r w:rsidR="0078490C">
        <w:rPr>
          <w:lang w:val="sr-Cyrl-CS"/>
        </w:rPr>
        <w:t>их</w:t>
      </w:r>
      <w:r w:rsidR="0078490C" w:rsidRPr="00717066">
        <w:rPr>
          <w:lang w:val="sr-Cyrl-CS"/>
        </w:rPr>
        <w:t xml:space="preserve"> рјешења из свог дјелокруга рада.</w:t>
      </w:r>
    </w:p>
    <w:p w:rsidR="0078490C" w:rsidRPr="00717066" w:rsidRDefault="0078490C" w:rsidP="0078490C">
      <w:pPr>
        <w:ind w:right="-108"/>
        <w:jc w:val="both"/>
        <w:rPr>
          <w:lang w:val="sr-Latn-CS"/>
        </w:rPr>
      </w:pPr>
      <w:r>
        <w:rPr>
          <w:lang w:val="sr-Cyrl-CS"/>
        </w:rPr>
        <w:t>У оквиру службе је радило у просјеку 10 (десет) радника.</w:t>
      </w:r>
    </w:p>
    <w:p w:rsidR="0078490C" w:rsidRDefault="0078490C" w:rsidP="0078490C">
      <w:pPr>
        <w:ind w:right="-108"/>
        <w:jc w:val="both"/>
      </w:pPr>
      <w:r w:rsidRPr="00717066">
        <w:rPr>
          <w:lang w:val="sr-Cyrl-CS"/>
        </w:rPr>
        <w:tab/>
        <w:t>У</w:t>
      </w:r>
      <w:r>
        <w:rPr>
          <w:lang w:val="sr-Cyrl-CS"/>
        </w:rPr>
        <w:t xml:space="preserve"> првој половини</w:t>
      </w:r>
      <w:r w:rsidRPr="00717066">
        <w:rPr>
          <w:lang w:val="sr-Cyrl-CS"/>
        </w:rPr>
        <w:t xml:space="preserve"> 20</w:t>
      </w:r>
      <w:r w:rsidRPr="00717066">
        <w:rPr>
          <w:lang w:val="sr-Latn-CS"/>
        </w:rPr>
        <w:t>1</w:t>
      </w:r>
      <w:r>
        <w:t>8</w:t>
      </w:r>
      <w:r>
        <w:rPr>
          <w:lang w:val="sr-Cyrl-CS"/>
        </w:rPr>
        <w:t>-те</w:t>
      </w:r>
      <w:r w:rsidRPr="00717066">
        <w:rPr>
          <w:lang w:val="sr-Cyrl-CS"/>
        </w:rPr>
        <w:t xml:space="preserve"> годин</w:t>
      </w:r>
      <w:r>
        <w:rPr>
          <w:lang w:val="sr-Cyrl-CS"/>
        </w:rPr>
        <w:t>е</w:t>
      </w:r>
      <w:r w:rsidRPr="00717066">
        <w:rPr>
          <w:lang w:val="sr-Cyrl-CS"/>
        </w:rPr>
        <w:t xml:space="preserve"> у оквиру </w:t>
      </w:r>
      <w:r>
        <w:rPr>
          <w:lang w:val="sr-Cyrl-CS"/>
        </w:rPr>
        <w:t>службе</w:t>
      </w:r>
      <w:r w:rsidRPr="00717066">
        <w:rPr>
          <w:lang w:val="sr-Cyrl-CS"/>
        </w:rPr>
        <w:t xml:space="preserve"> је било распоређено </w:t>
      </w:r>
      <w:r>
        <w:t>10</w:t>
      </w:r>
      <w:r>
        <w:rPr>
          <w:lang w:val="sr-Cyrl-CS"/>
        </w:rPr>
        <w:t xml:space="preserve"> (де</w:t>
      </w:r>
      <w:r>
        <w:t>с</w:t>
      </w:r>
      <w:r>
        <w:rPr>
          <w:lang w:val="sr-Cyrl-CS"/>
        </w:rPr>
        <w:t>ет)</w:t>
      </w:r>
      <w:r w:rsidRPr="00717066">
        <w:rPr>
          <w:lang w:val="sr-Cyrl-CS"/>
        </w:rPr>
        <w:t xml:space="preserve"> извршилаца</w:t>
      </w:r>
      <w:r>
        <w:rPr>
          <w:lang w:val="sr-Cyrl-CS"/>
        </w:rPr>
        <w:t>,</w:t>
      </w:r>
      <w:r w:rsidRPr="00717066">
        <w:rPr>
          <w:lang w:val="sr-Cyrl-CS"/>
        </w:rPr>
        <w:t xml:space="preserve"> заједно са руководиоцем - шефом </w:t>
      </w:r>
      <w:r>
        <w:rPr>
          <w:lang w:val="sr-Cyrl-CS"/>
        </w:rPr>
        <w:t>Службе</w:t>
      </w:r>
      <w:r>
        <w:rPr>
          <w:lang w:val="sr-Cyrl-BA"/>
        </w:rPr>
        <w:t>. Од тог броја, двије раднице су у наведеном периоду биле на породиљском боловању, стим да је једна почела са радом половином априла.</w:t>
      </w:r>
    </w:p>
    <w:p w:rsidR="0078490C" w:rsidRPr="002160F6" w:rsidRDefault="0078490C" w:rsidP="0078490C">
      <w:pPr>
        <w:ind w:right="-108"/>
        <w:jc w:val="both"/>
      </w:pPr>
      <w:r>
        <w:tab/>
        <w:t>У другом дијелу године бројно стање је повећано за једног дипл.инж.арх. али је истовремено још једна радница отишла на породиљско боловање.</w:t>
      </w:r>
    </w:p>
    <w:p w:rsidR="0078490C" w:rsidRDefault="0078490C" w:rsidP="0078490C">
      <w:pPr>
        <w:ind w:right="-108"/>
        <w:jc w:val="both"/>
        <w:rPr>
          <w:lang w:val="sr-Cyrl-CS"/>
        </w:rPr>
      </w:pPr>
    </w:p>
    <w:p w:rsidR="0078490C" w:rsidRPr="00717066" w:rsidRDefault="0078490C" w:rsidP="0078490C">
      <w:pPr>
        <w:ind w:right="-108"/>
        <w:jc w:val="both"/>
        <w:rPr>
          <w:lang w:val="sr-Cyrl-CS"/>
        </w:rPr>
      </w:pPr>
      <w:r w:rsidRPr="00717066">
        <w:rPr>
          <w:lang w:val="sr-Cyrl-CS"/>
        </w:rPr>
        <w:t xml:space="preserve">Из свог дјелокруга рада, </w:t>
      </w:r>
      <w:r>
        <w:rPr>
          <w:lang w:val="sr-Cyrl-CS"/>
        </w:rPr>
        <w:t>Служба</w:t>
      </w:r>
      <w:r w:rsidRPr="00717066">
        <w:rPr>
          <w:lang w:val="sr-Cyrl-CS"/>
        </w:rPr>
        <w:t xml:space="preserve"> је обав</w:t>
      </w:r>
      <w:r>
        <w:rPr>
          <w:lang w:val="sr-Cyrl-CS"/>
        </w:rPr>
        <w:t>љала</w:t>
      </w:r>
      <w:r w:rsidRPr="00717066">
        <w:rPr>
          <w:lang w:val="sr-Cyrl-CS"/>
        </w:rPr>
        <w:t xml:space="preserve"> с</w:t>
      </w:r>
      <w:r>
        <w:rPr>
          <w:lang w:val="sr-Cyrl-CS"/>
        </w:rPr>
        <w:t>љ</w:t>
      </w:r>
      <w:r w:rsidRPr="00717066">
        <w:rPr>
          <w:lang w:val="sr-Cyrl-CS"/>
        </w:rPr>
        <w:t>едеће послове:</w:t>
      </w:r>
    </w:p>
    <w:p w:rsidR="0078490C" w:rsidRPr="00717066" w:rsidRDefault="0078490C" w:rsidP="0078490C">
      <w:pPr>
        <w:ind w:right="-108"/>
        <w:jc w:val="both"/>
        <w:rPr>
          <w:lang w:val="sr-Cyrl-CS"/>
        </w:rPr>
      </w:pPr>
    </w:p>
    <w:p w:rsidR="0078490C" w:rsidRDefault="0078490C" w:rsidP="0078490C">
      <w:pPr>
        <w:jc w:val="both"/>
      </w:pPr>
      <w:r w:rsidRPr="00717066">
        <w:rPr>
          <w:b/>
          <w:lang w:val="sr-Cyrl-CS"/>
        </w:rPr>
        <w:t>а/</w:t>
      </w:r>
      <w:r w:rsidRPr="00717066">
        <w:rPr>
          <w:lang w:val="sr-Cyrl-CS"/>
        </w:rPr>
        <w:t xml:space="preserve"> </w:t>
      </w:r>
      <w:r w:rsidRPr="00646123">
        <w:rPr>
          <w:b/>
          <w:lang w:val="sr-Cyrl-CS"/>
        </w:rPr>
        <w:t>Израду техничке документације</w:t>
      </w:r>
      <w:r w:rsidRPr="00717066">
        <w:rPr>
          <w:lang w:val="sr-Cyrl-CS"/>
        </w:rPr>
        <w:t xml:space="preserve"> свих нивоа (идејни </w:t>
      </w:r>
      <w:r>
        <w:rPr>
          <w:lang w:val="sr-Cyrl-CS"/>
        </w:rPr>
        <w:t>и</w:t>
      </w:r>
      <w:r w:rsidRPr="00717066">
        <w:rPr>
          <w:lang w:val="sr-Cyrl-CS"/>
        </w:rPr>
        <w:t xml:space="preserve"> главни пројект</w:t>
      </w:r>
      <w:r>
        <w:rPr>
          <w:lang w:val="sr-Cyrl-CS"/>
        </w:rPr>
        <w:t>и</w:t>
      </w:r>
      <w:r w:rsidRPr="00717066">
        <w:rPr>
          <w:lang w:val="sr-Cyrl-CS"/>
        </w:rPr>
        <w:t>, елаборат</w:t>
      </w:r>
      <w:r>
        <w:rPr>
          <w:lang w:val="sr-Cyrl-CS"/>
        </w:rPr>
        <w:t>и</w:t>
      </w:r>
      <w:r w:rsidRPr="00717066">
        <w:rPr>
          <w:lang w:val="sr-Cyrl-CS"/>
        </w:rPr>
        <w:t>-техничка рјешења, упроштена документација</w:t>
      </w:r>
      <w:r>
        <w:rPr>
          <w:lang w:val="sr-Cyrl-CS"/>
        </w:rPr>
        <w:t xml:space="preserve"> и сл.)</w:t>
      </w:r>
      <w:r w:rsidRPr="00717066">
        <w:rPr>
          <w:lang w:val="sr-Cyrl-CS"/>
        </w:rPr>
        <w:t xml:space="preserve"> и врста (високоградња, нискоградња, вањска уређења)</w:t>
      </w:r>
      <w:r>
        <w:rPr>
          <w:lang w:val="sr-Cyrl-CS"/>
        </w:rPr>
        <w:t>. Значајнији пројекти који су уговорени и урађени у наведеном периоду сукоји су</w:t>
      </w:r>
      <w:r>
        <w:t>:</w:t>
      </w:r>
    </w:p>
    <w:p w:rsidR="0078490C" w:rsidRDefault="0078490C" w:rsidP="0078490C">
      <w:pPr>
        <w:jc w:val="both"/>
      </w:pPr>
    </w:p>
    <w:p w:rsidR="0078490C" w:rsidRDefault="0078490C" w:rsidP="0078490C">
      <w:pPr>
        <w:jc w:val="both"/>
      </w:pPr>
      <w:r>
        <w:t>- Главни пројекат санације и реконструкције објекта Соколског дома у Бијељини,</w:t>
      </w:r>
    </w:p>
    <w:p w:rsidR="0078490C" w:rsidRDefault="0078490C" w:rsidP="0078490C">
      <w:pPr>
        <w:jc w:val="both"/>
      </w:pPr>
      <w:r>
        <w:t>- Идејни пројекат јавне гараже,</w:t>
      </w:r>
    </w:p>
    <w:p w:rsidR="0078490C" w:rsidRDefault="0078490C" w:rsidP="0078490C">
      <w:pPr>
        <w:jc w:val="both"/>
      </w:pPr>
      <w:r>
        <w:t>- Пројекат уређења спомен собе,</w:t>
      </w:r>
    </w:p>
    <w:p w:rsidR="0078490C" w:rsidRDefault="0078490C" w:rsidP="0078490C">
      <w:pPr>
        <w:jc w:val="both"/>
      </w:pPr>
      <w:r>
        <w:t>- Главни пројекат реконструкције Дринске улице,</w:t>
      </w:r>
    </w:p>
    <w:p w:rsidR="0078490C" w:rsidRDefault="0078490C" w:rsidP="0078490C">
      <w:pPr>
        <w:jc w:val="both"/>
      </w:pPr>
      <w:r>
        <w:t>- Главни пројекат за изградњу треће саобраћајне траке у Доњем Драгаљевцу,</w:t>
      </w:r>
    </w:p>
    <w:p w:rsidR="0078490C" w:rsidRDefault="0078490C" w:rsidP="0078490C">
      <w:pPr>
        <w:jc w:val="both"/>
      </w:pPr>
      <w:r>
        <w:t>- Идејни и главни пројекат петоразредне подручне школе у Горњем Магнојевићу,</w:t>
      </w:r>
    </w:p>
    <w:p w:rsidR="0078490C" w:rsidRDefault="0078490C" w:rsidP="0078490C">
      <w:pPr>
        <w:jc w:val="both"/>
      </w:pPr>
      <w:r>
        <w:t>- Идејни пројекат источне трибине и игралишта ФК Радник,</w:t>
      </w:r>
    </w:p>
    <w:p w:rsidR="0078490C" w:rsidRDefault="0078490C" w:rsidP="0078490C">
      <w:pPr>
        <w:jc w:val="both"/>
      </w:pPr>
      <w:r>
        <w:t>- Идејни и главни пројекат фискултурне дворане уз школски објекат у Патковачи,</w:t>
      </w:r>
    </w:p>
    <w:p w:rsidR="0078490C" w:rsidRDefault="0078490C" w:rsidP="0078490C">
      <w:pPr>
        <w:jc w:val="both"/>
      </w:pPr>
      <w:r>
        <w:t>- Главни пројекат опремања вишепородичног стамбеног објекта П+3  у Амајлијама,</w:t>
      </w:r>
    </w:p>
    <w:p w:rsidR="0078490C" w:rsidRDefault="0078490C" w:rsidP="0078490C">
      <w:pPr>
        <w:jc w:val="both"/>
      </w:pPr>
      <w:r>
        <w:t>- Главни пројекат за изградњу улице изм. улица Атинске и Кнеза Милоша.</w:t>
      </w:r>
    </w:p>
    <w:p w:rsidR="0078490C" w:rsidRDefault="0078490C" w:rsidP="0078490C">
      <w:pPr>
        <w:jc w:val="both"/>
      </w:pPr>
      <w:r>
        <w:lastRenderedPageBreak/>
        <w:t>- Главни пројекат за завршетак базена и предбазенског простора у Дворовима.</w:t>
      </w:r>
    </w:p>
    <w:p w:rsidR="0078490C" w:rsidRPr="00717066" w:rsidRDefault="0078490C" w:rsidP="0078490C">
      <w:pPr>
        <w:ind w:right="-108"/>
        <w:jc w:val="both"/>
        <w:rPr>
          <w:lang w:val="sr-Cyrl-CS"/>
        </w:rPr>
      </w:pPr>
      <w:r>
        <w:rPr>
          <w:lang w:val="sr-Cyrl-CS"/>
        </w:rPr>
        <w:t xml:space="preserve">   </w:t>
      </w:r>
    </w:p>
    <w:p w:rsidR="0078490C" w:rsidRDefault="0078490C" w:rsidP="0078490C">
      <w:pPr>
        <w:ind w:right="-108"/>
        <w:jc w:val="both"/>
        <w:rPr>
          <w:lang w:val="sr-Cyrl-BA"/>
        </w:rPr>
      </w:pPr>
      <w:r w:rsidRPr="00D923A3">
        <w:rPr>
          <w:b/>
          <w:lang w:val="sr-Cyrl-CS"/>
        </w:rPr>
        <w:t>б/ Надзор над извођењем радова,</w:t>
      </w:r>
      <w:r w:rsidRPr="00717066">
        <w:rPr>
          <w:b/>
          <w:lang w:val="sr-Cyrl-CS"/>
        </w:rPr>
        <w:t xml:space="preserve"> </w:t>
      </w:r>
      <w:r w:rsidRPr="00806A75">
        <w:rPr>
          <w:lang w:val="sr-Cyrl-CS"/>
        </w:rPr>
        <w:t>како</w:t>
      </w:r>
      <w:r>
        <w:rPr>
          <w:b/>
          <w:lang w:val="sr-Cyrl-CS"/>
        </w:rPr>
        <w:t xml:space="preserve"> </w:t>
      </w:r>
      <w:r w:rsidRPr="00717066">
        <w:rPr>
          <w:lang w:val="sr-Cyrl-CS"/>
        </w:rPr>
        <w:t>оних који су прене</w:t>
      </w:r>
      <w:r>
        <w:rPr>
          <w:lang w:val="sr-Cyrl-CS"/>
        </w:rPr>
        <w:t>с</w:t>
      </w:r>
      <w:r w:rsidRPr="00717066">
        <w:rPr>
          <w:lang w:val="sr-Cyrl-CS"/>
        </w:rPr>
        <w:t>ени из претходне</w:t>
      </w:r>
      <w:r>
        <w:rPr>
          <w:lang w:val="sr-Cyrl-CS"/>
        </w:rPr>
        <w:t xml:space="preserve"> 2017</w:t>
      </w:r>
      <w:r w:rsidRPr="00717066">
        <w:rPr>
          <w:lang w:val="sr-Cyrl-CS"/>
        </w:rPr>
        <w:t xml:space="preserve"> године, </w:t>
      </w:r>
      <w:r>
        <w:rPr>
          <w:lang w:val="sr-Cyrl-CS"/>
        </w:rPr>
        <w:t xml:space="preserve">тако </w:t>
      </w:r>
      <w:r w:rsidRPr="00717066">
        <w:rPr>
          <w:lang w:val="sr-Cyrl-CS"/>
        </w:rPr>
        <w:t xml:space="preserve">и </w:t>
      </w:r>
      <w:r>
        <w:rPr>
          <w:lang w:val="sr-Cyrl-CS"/>
        </w:rPr>
        <w:t>нових,</w:t>
      </w:r>
      <w:r w:rsidRPr="00717066">
        <w:rPr>
          <w:lang w:val="sr-Cyrl-CS"/>
        </w:rPr>
        <w:t xml:space="preserve"> уговорених у 201</w:t>
      </w:r>
      <w:r>
        <w:rPr>
          <w:lang w:val="sr-Cyrl-BA"/>
        </w:rPr>
        <w:t>8</w:t>
      </w:r>
      <w:r w:rsidRPr="00717066">
        <w:rPr>
          <w:lang w:val="sr-Cyrl-CS"/>
        </w:rPr>
        <w:t>. години</w:t>
      </w:r>
      <w:r w:rsidRPr="00717066">
        <w:rPr>
          <w:b/>
          <w:lang w:val="sr-Latn-CS"/>
        </w:rPr>
        <w:t xml:space="preserve"> </w:t>
      </w:r>
      <w:r>
        <w:rPr>
          <w:b/>
        </w:rPr>
        <w:t>(</w:t>
      </w:r>
      <w:r w:rsidRPr="00717066">
        <w:t>o</w:t>
      </w:r>
      <w:r w:rsidRPr="00717066">
        <w:rPr>
          <w:lang w:val="sr-Cyrl-BA"/>
        </w:rPr>
        <w:t>бјект</w:t>
      </w:r>
      <w:r>
        <w:rPr>
          <w:lang w:val="sr-Cyrl-BA"/>
        </w:rPr>
        <w:t>и</w:t>
      </w:r>
      <w:r w:rsidRPr="00717066">
        <w:rPr>
          <w:lang w:val="sr-Cyrl-BA"/>
        </w:rPr>
        <w:t xml:space="preserve"> високоградње</w:t>
      </w:r>
      <w:r>
        <w:rPr>
          <w:lang w:val="sr-Cyrl-BA"/>
        </w:rPr>
        <w:t>, нискоградње,</w:t>
      </w:r>
      <w:r w:rsidRPr="00717066">
        <w:rPr>
          <w:lang w:val="sr-Cyrl-BA"/>
        </w:rPr>
        <w:t xml:space="preserve"> </w:t>
      </w:r>
      <w:r>
        <w:rPr>
          <w:lang w:val="sr-Cyrl-BA"/>
        </w:rPr>
        <w:t xml:space="preserve">термотехнике итд...): </w:t>
      </w:r>
    </w:p>
    <w:p w:rsidR="0078490C" w:rsidRDefault="0078490C" w:rsidP="0078490C">
      <w:pPr>
        <w:ind w:right="-108"/>
        <w:jc w:val="both"/>
        <w:rPr>
          <w:lang w:val="sr-Cyrl-CS"/>
        </w:rPr>
      </w:pPr>
      <w:r>
        <w:rPr>
          <w:lang w:val="sr-Cyrl-CS"/>
        </w:rPr>
        <w:t>- Надзор над извођењем канализационог система Града Бијељина, пројекат "ОРИО". Уговор из 2017. године.</w:t>
      </w:r>
    </w:p>
    <w:p w:rsidR="0078490C" w:rsidRDefault="0078490C" w:rsidP="0078490C">
      <w:pPr>
        <w:ind w:right="-108"/>
        <w:jc w:val="both"/>
        <w:rPr>
          <w:lang w:val="sr-Cyrl-CS"/>
        </w:rPr>
      </w:pPr>
      <w:r>
        <w:rPr>
          <w:lang w:val="sr-Cyrl-CS"/>
        </w:rPr>
        <w:t>- Надзор над извођењем грађевинско-занатских и занатских радова, на објекту петоразредне школе у насељу Лединци у Бијељини:</w:t>
      </w:r>
      <w:r>
        <w:t xml:space="preserve"> VIII,</w:t>
      </w:r>
      <w:r>
        <w:rPr>
          <w:lang w:val="sr-Cyrl-CS"/>
        </w:rPr>
        <w:t xml:space="preserve"> IX, Х и Х</w:t>
      </w:r>
      <w:r>
        <w:rPr>
          <w:lang w:val="sr-Latn-BA"/>
        </w:rPr>
        <w:t>I</w:t>
      </w:r>
      <w:r>
        <w:t xml:space="preserve"> ФАЗА</w:t>
      </w:r>
      <w:r>
        <w:rPr>
          <w:lang w:val="sr-Cyrl-CS"/>
        </w:rPr>
        <w:t>.</w:t>
      </w:r>
    </w:p>
    <w:p w:rsidR="0078490C" w:rsidRDefault="0078490C" w:rsidP="0078490C">
      <w:pPr>
        <w:ind w:right="-108"/>
        <w:jc w:val="both"/>
      </w:pPr>
      <w:r>
        <w:t>- Надзор над извођењем радова на изградњи фарме у склопу пољопривредне школе у Бијељини-</w:t>
      </w:r>
      <w:r>
        <w:rPr>
          <w:lang w:val="sr-Latn-BA"/>
        </w:rPr>
        <w:t xml:space="preserve"> </w:t>
      </w:r>
      <w:r>
        <w:t>II и</w:t>
      </w:r>
      <w:r>
        <w:rPr>
          <w:lang w:val="sr-Latn-BA"/>
        </w:rPr>
        <w:t xml:space="preserve"> III</w:t>
      </w:r>
      <w:r>
        <w:t xml:space="preserve"> фаза.</w:t>
      </w:r>
    </w:p>
    <w:p w:rsidR="0078490C" w:rsidRDefault="0078490C" w:rsidP="0078490C">
      <w:pPr>
        <w:ind w:right="-108"/>
        <w:jc w:val="both"/>
        <w:rPr>
          <w:lang w:val="sr-Latn-BA"/>
        </w:rPr>
      </w:pPr>
      <w:r>
        <w:t xml:space="preserve">- Надзор на реконструкцији крова на објекту Соколски дом у Бијељини- ФАЗА </w:t>
      </w:r>
      <w:r>
        <w:rPr>
          <w:lang w:val="sr-Latn-BA"/>
        </w:rPr>
        <w:t>I,</w:t>
      </w:r>
    </w:p>
    <w:p w:rsidR="0078490C" w:rsidRDefault="0078490C" w:rsidP="0078490C">
      <w:pPr>
        <w:ind w:right="-108"/>
        <w:jc w:val="both"/>
      </w:pPr>
      <w:r>
        <w:rPr>
          <w:lang w:val="sr-Latn-BA"/>
        </w:rPr>
        <w:t>-</w:t>
      </w:r>
      <w:r>
        <w:t>Надзор над изградњом грађевинских радова</w:t>
      </w:r>
      <w:r>
        <w:rPr>
          <w:lang w:val="sr-Latn-BA"/>
        </w:rPr>
        <w:t>, I</w:t>
      </w:r>
      <w:r>
        <w:t xml:space="preserve"> фаза, на објекту петоразредне школе у насељу Г. Магнојевић,</w:t>
      </w:r>
    </w:p>
    <w:p w:rsidR="0078490C" w:rsidRDefault="0078490C" w:rsidP="0078490C">
      <w:pPr>
        <w:ind w:right="-108"/>
        <w:jc w:val="both"/>
      </w:pPr>
      <w:r>
        <w:t xml:space="preserve">-Надзор над извођењем радова на опремању ентеријера спомен собе у Бијељини и кабинета за практичну наставу у Пољопривредној и Медицинској школи. </w:t>
      </w:r>
    </w:p>
    <w:p w:rsidR="0078490C" w:rsidRPr="001C40EC" w:rsidRDefault="0078490C" w:rsidP="0078490C">
      <w:pPr>
        <w:ind w:right="-108"/>
        <w:jc w:val="both"/>
      </w:pPr>
      <w:r>
        <w:t>-Надзор над извођењем радова набавке и опремања дјечијег игралишта у градском парку у Бијељини</w:t>
      </w:r>
    </w:p>
    <w:p w:rsidR="0078490C" w:rsidRDefault="0078490C" w:rsidP="0078490C">
      <w:pPr>
        <w:ind w:right="-108"/>
        <w:jc w:val="both"/>
        <w:rPr>
          <w:lang w:val="sr-Cyrl-CS"/>
        </w:rPr>
      </w:pPr>
    </w:p>
    <w:p w:rsidR="0078490C" w:rsidRPr="00717066" w:rsidRDefault="0078490C" w:rsidP="0078490C">
      <w:pPr>
        <w:ind w:right="-108"/>
        <w:jc w:val="both"/>
        <w:rPr>
          <w:lang w:val="sr-Cyrl-CS"/>
        </w:rPr>
      </w:pPr>
      <w:r>
        <w:rPr>
          <w:b/>
          <w:lang w:val="sr-Cyrl-CS"/>
        </w:rPr>
        <w:t>в</w:t>
      </w:r>
      <w:r w:rsidRPr="00717066">
        <w:rPr>
          <w:b/>
          <w:lang w:val="sr-Cyrl-CS"/>
        </w:rPr>
        <w:t>/</w:t>
      </w:r>
      <w:r w:rsidRPr="00717066">
        <w:rPr>
          <w:lang w:val="sr-Cyrl-CS"/>
        </w:rPr>
        <w:t xml:space="preserve"> </w:t>
      </w:r>
      <w:r>
        <w:rPr>
          <w:b/>
          <w:lang w:val="sr-Cyrl-CS"/>
        </w:rPr>
        <w:t>Ревизију</w:t>
      </w:r>
      <w:r w:rsidRPr="00717066">
        <w:rPr>
          <w:b/>
          <w:lang w:val="sr-Cyrl-CS"/>
        </w:rPr>
        <w:t xml:space="preserve"> техничке документације</w:t>
      </w:r>
      <w:r w:rsidRPr="00717066">
        <w:rPr>
          <w:lang w:val="sr-Cyrl-CS"/>
        </w:rPr>
        <w:t xml:space="preserve"> на основу захтјева инвеститора. У наведеном периоду извршено је</w:t>
      </w:r>
      <w:r>
        <w:rPr>
          <w:lang w:val="sr-Cyrl-CS"/>
        </w:rPr>
        <w:t xml:space="preserve"> </w:t>
      </w:r>
      <w:r>
        <w:rPr>
          <w:b/>
          <w:lang w:val="sr-Cyrl-CS"/>
        </w:rPr>
        <w:t>10</w:t>
      </w:r>
      <w:r w:rsidRPr="00DB2D01">
        <w:rPr>
          <w:b/>
          <w:lang w:val="sr-Cyrl-CS"/>
        </w:rPr>
        <w:t xml:space="preserve"> (</w:t>
      </w:r>
      <w:r>
        <w:rPr>
          <w:b/>
          <w:lang w:val="sr-Cyrl-CS"/>
        </w:rPr>
        <w:t>десет) ревизиј</w:t>
      </w:r>
      <w:r>
        <w:rPr>
          <w:b/>
          <w:lang w:val="sr-Cyrl-BA"/>
        </w:rPr>
        <w:t>а</w:t>
      </w:r>
      <w:r>
        <w:rPr>
          <w:b/>
          <w:lang w:val="sr-Cyrl-CS"/>
        </w:rPr>
        <w:t>,</w:t>
      </w:r>
      <w:r>
        <w:rPr>
          <w:lang w:val="sr-Cyrl-CS"/>
        </w:rPr>
        <w:t xml:space="preserve"> различитих објеката по величини и намјени. Обим посла је значајно смањен. Дијелом због смањења посла уопште, а дијелом и због веће конкуренције на тржишту. </w:t>
      </w:r>
    </w:p>
    <w:p w:rsidR="0078490C" w:rsidRPr="00717066" w:rsidRDefault="0078490C" w:rsidP="0078490C">
      <w:pPr>
        <w:ind w:right="-108"/>
        <w:jc w:val="both"/>
        <w:rPr>
          <w:lang w:val="sr-Cyrl-CS"/>
        </w:rPr>
      </w:pPr>
      <w:r w:rsidRPr="00717066">
        <w:rPr>
          <w:lang w:val="sr-Cyrl-CS"/>
        </w:rPr>
        <w:t xml:space="preserve"> </w:t>
      </w:r>
    </w:p>
    <w:p w:rsidR="0078490C" w:rsidRPr="00717066" w:rsidRDefault="0078490C" w:rsidP="0078490C">
      <w:pPr>
        <w:ind w:right="-108"/>
        <w:jc w:val="both"/>
        <w:rPr>
          <w:lang w:val="sr-Cyrl-CS"/>
        </w:rPr>
      </w:pPr>
      <w:r>
        <w:rPr>
          <w:b/>
          <w:lang w:val="sr-Cyrl-CS"/>
        </w:rPr>
        <w:t>г</w:t>
      </w:r>
      <w:r w:rsidRPr="00717066">
        <w:rPr>
          <w:b/>
          <w:lang w:val="sr-Cyrl-CS"/>
        </w:rPr>
        <w:t>/</w:t>
      </w:r>
      <w:r w:rsidRPr="00717066">
        <w:rPr>
          <w:lang w:val="sr-Cyrl-CS"/>
        </w:rPr>
        <w:t xml:space="preserve"> </w:t>
      </w:r>
      <w:r>
        <w:rPr>
          <w:b/>
          <w:lang w:val="sr-Cyrl-CS"/>
        </w:rPr>
        <w:t>Т</w:t>
      </w:r>
      <w:r w:rsidRPr="00717066">
        <w:rPr>
          <w:b/>
          <w:lang w:val="sr-Cyrl-CS"/>
        </w:rPr>
        <w:t>ехничке прегледе објеката</w:t>
      </w:r>
      <w:r w:rsidRPr="00717066">
        <w:rPr>
          <w:lang w:val="sr-Cyrl-CS"/>
        </w:rPr>
        <w:t>, у поступцима издавања одобрења за употребу који су се во</w:t>
      </w:r>
      <w:r>
        <w:rPr>
          <w:lang w:val="sr-Cyrl-CS"/>
        </w:rPr>
        <w:t>дили у Одјељењу за просторно уређење Градске управе</w:t>
      </w:r>
      <w:r w:rsidRPr="00717066">
        <w:rPr>
          <w:lang w:val="sr-Cyrl-CS"/>
        </w:rPr>
        <w:t xml:space="preserve"> </w:t>
      </w:r>
      <w:r>
        <w:rPr>
          <w:lang w:val="sr-Cyrl-CS"/>
        </w:rPr>
        <w:t xml:space="preserve">Града Бијељина. Урађена су </w:t>
      </w:r>
      <w:r>
        <w:rPr>
          <w:b/>
          <w:lang w:val="sr-Cyrl-BA"/>
        </w:rPr>
        <w:t>73</w:t>
      </w:r>
      <w:r w:rsidRPr="00C96E3B">
        <w:rPr>
          <w:b/>
          <w:lang w:val="sr-Cyrl-CS"/>
        </w:rPr>
        <w:t xml:space="preserve"> (</w:t>
      </w:r>
      <w:r>
        <w:rPr>
          <w:b/>
          <w:lang w:val="sr-Cyrl-BA"/>
        </w:rPr>
        <w:t>седамдесет три</w:t>
      </w:r>
      <w:r>
        <w:rPr>
          <w:b/>
          <w:lang w:val="sr-Cyrl-CS"/>
        </w:rPr>
        <w:t>) техничка преглед</w:t>
      </w:r>
      <w:r>
        <w:rPr>
          <w:b/>
          <w:lang w:val="sr-Cyrl-BA"/>
        </w:rPr>
        <w:t>а</w:t>
      </w:r>
      <w:r>
        <w:rPr>
          <w:b/>
          <w:lang w:val="sr-Cyrl-CS"/>
        </w:rPr>
        <w:t xml:space="preserve">. </w:t>
      </w:r>
      <w:r w:rsidRPr="00717066">
        <w:rPr>
          <w:lang w:val="sr-Cyrl-CS"/>
        </w:rPr>
        <w:t xml:space="preserve">По потреби, за ове послове су ангажована и поједина стручна лица из других </w:t>
      </w:r>
      <w:r>
        <w:rPr>
          <w:lang w:val="sr-Cyrl-CS"/>
        </w:rPr>
        <w:t>служби</w:t>
      </w:r>
      <w:r w:rsidRPr="00717066">
        <w:rPr>
          <w:lang w:val="sr-Cyrl-CS"/>
        </w:rPr>
        <w:t>.</w:t>
      </w:r>
    </w:p>
    <w:p w:rsidR="0078490C" w:rsidRPr="00717066" w:rsidRDefault="0078490C" w:rsidP="0078490C">
      <w:pPr>
        <w:ind w:right="-108"/>
        <w:jc w:val="both"/>
        <w:rPr>
          <w:lang w:val="sr-Cyrl-CS"/>
        </w:rPr>
      </w:pPr>
    </w:p>
    <w:p w:rsidR="0078490C" w:rsidRDefault="0078490C" w:rsidP="0078490C">
      <w:pPr>
        <w:ind w:right="-108"/>
        <w:jc w:val="both"/>
        <w:rPr>
          <w:lang w:val="sr-Cyrl-CS"/>
        </w:rPr>
      </w:pPr>
      <w:r>
        <w:rPr>
          <w:b/>
          <w:lang w:val="sr-Cyrl-CS"/>
        </w:rPr>
        <w:t>д</w:t>
      </w:r>
      <w:r w:rsidRPr="00717066">
        <w:rPr>
          <w:b/>
          <w:lang w:val="sr-Cyrl-CS"/>
        </w:rPr>
        <w:t>/</w:t>
      </w:r>
      <w:r w:rsidRPr="00717066">
        <w:rPr>
          <w:lang w:val="sr-Cyrl-CS"/>
        </w:rPr>
        <w:t xml:space="preserve"> </w:t>
      </w:r>
      <w:r w:rsidRPr="00646123">
        <w:rPr>
          <w:b/>
          <w:lang w:val="sr-Cyrl-CS"/>
        </w:rPr>
        <w:t>Поред горе наведених послова</w:t>
      </w:r>
      <w:r w:rsidRPr="00717066">
        <w:rPr>
          <w:lang w:val="sr-Cyrl-CS"/>
        </w:rPr>
        <w:t>, стручна лица ов</w:t>
      </w:r>
      <w:r>
        <w:rPr>
          <w:lang w:val="sr-Cyrl-CS"/>
        </w:rPr>
        <w:t>е</w:t>
      </w:r>
      <w:r w:rsidRPr="00717066">
        <w:rPr>
          <w:lang w:val="sr-Cyrl-CS"/>
        </w:rPr>
        <w:t xml:space="preserve"> </w:t>
      </w:r>
      <w:r>
        <w:rPr>
          <w:lang w:val="sr-Cyrl-CS"/>
        </w:rPr>
        <w:t>службе</w:t>
      </w:r>
      <w:r w:rsidRPr="00717066">
        <w:rPr>
          <w:lang w:val="sr-Cyrl-CS"/>
        </w:rPr>
        <w:t xml:space="preserve"> су била ангажована и на изради просторно-планске документације разних нивоа и сложености,</w:t>
      </w:r>
      <w:r>
        <w:rPr>
          <w:lang w:val="sr-Cyrl-CS"/>
        </w:rPr>
        <w:t xml:space="preserve"> стручних мишљења и</w:t>
      </w:r>
      <w:r w:rsidRPr="00717066">
        <w:rPr>
          <w:lang w:val="sr-Cyrl-CS"/>
        </w:rPr>
        <w:t xml:space="preserve"> урбанистичко-техничких услова </w:t>
      </w:r>
      <w:r w:rsidRPr="00717066">
        <w:rPr>
          <w:lang w:val="sr-Cyrl-BA"/>
        </w:rPr>
        <w:t>и других послова</w:t>
      </w:r>
      <w:r w:rsidRPr="00717066">
        <w:rPr>
          <w:lang w:val="sr-Cyrl-CS"/>
        </w:rPr>
        <w:t xml:space="preserve"> из дјелокруга рада предузећа.</w:t>
      </w:r>
    </w:p>
    <w:p w:rsidR="0078490C" w:rsidRDefault="0078490C" w:rsidP="0078490C">
      <w:pPr>
        <w:ind w:right="-108"/>
        <w:jc w:val="both"/>
        <w:rPr>
          <w:lang w:val="sr-Cyrl-CS"/>
        </w:rPr>
      </w:pPr>
    </w:p>
    <w:p w:rsidR="0078490C" w:rsidRDefault="0078490C" w:rsidP="0078490C">
      <w:pPr>
        <w:jc w:val="both"/>
        <w:rPr>
          <w:lang w:val="sr-Cyrl-CS"/>
        </w:rPr>
      </w:pPr>
      <w:r>
        <w:rPr>
          <w:lang w:val="sr-Cyrl-CS"/>
        </w:rPr>
        <w:t xml:space="preserve">У наведеном периоду су такође, припремљене и урађене понуде и обрачуни по свим налозима Градске управе Града Бијељина и заинтересованих трећих лица. </w:t>
      </w:r>
    </w:p>
    <w:p w:rsidR="0078490C" w:rsidRDefault="0078490C" w:rsidP="0078490C">
      <w:pPr>
        <w:ind w:right="-108"/>
        <w:jc w:val="both"/>
        <w:rPr>
          <w:b/>
          <w:bCs/>
          <w:lang w:val="sr-Cyrl-CS"/>
        </w:rPr>
      </w:pPr>
    </w:p>
    <w:p w:rsidR="0078490C" w:rsidRDefault="0078490C" w:rsidP="0078490C">
      <w:pPr>
        <w:ind w:firstLine="720"/>
        <w:outlineLvl w:val="0"/>
        <w:rPr>
          <w:b/>
          <w:u w:val="single"/>
          <w:lang w:val="sr-Cyrl-BA"/>
        </w:rPr>
      </w:pPr>
    </w:p>
    <w:p w:rsidR="00AF6FFE" w:rsidRPr="00284AAF" w:rsidRDefault="00AF6FFE" w:rsidP="0078490C">
      <w:pPr>
        <w:ind w:right="-108"/>
        <w:jc w:val="both"/>
        <w:rPr>
          <w:b/>
          <w:bCs/>
          <w:lang w:val="sr-Latn-BA"/>
        </w:rPr>
      </w:pPr>
      <w:r w:rsidRPr="00717066">
        <w:tab/>
      </w:r>
    </w:p>
    <w:p w:rsidR="00AF6FFE" w:rsidRDefault="00AF6FFE" w:rsidP="00AF6FFE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2). </w:t>
      </w:r>
      <w:r w:rsidRPr="00EB00C5">
        <w:rPr>
          <w:b/>
          <w:lang w:val="sr-Cyrl-CS"/>
        </w:rPr>
        <w:t>СЕКТОР</w:t>
      </w:r>
      <w:r>
        <w:rPr>
          <w:b/>
          <w:lang w:val="sr-Cyrl-CS"/>
        </w:rPr>
        <w:t xml:space="preserve"> ЗА ЕКОНОМСКО-ПРАВНЕ ПОСЛОВЕ, ГРАЂЕВИНСКО</w:t>
      </w:r>
    </w:p>
    <w:p w:rsidR="00AF6FFE" w:rsidRDefault="00AF6FFE" w:rsidP="00AF6FFE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ЗЕМЉИШТЕ И САОБРАЋАЈ</w:t>
      </w:r>
    </w:p>
    <w:p w:rsidR="00AF6FFE" w:rsidRDefault="00AF6FFE" w:rsidP="00AF6FFE">
      <w:pPr>
        <w:jc w:val="both"/>
        <w:rPr>
          <w:b/>
          <w:lang w:val="sr-Cyrl-CS"/>
        </w:rPr>
      </w:pPr>
    </w:p>
    <w:p w:rsidR="00AF6FFE" w:rsidRPr="007A76F3" w:rsidRDefault="00AF6FFE" w:rsidP="00AF6FFE">
      <w:pPr>
        <w:pStyle w:val="BodyText"/>
        <w:rPr>
          <w:bCs/>
          <w:noProof/>
        </w:rPr>
      </w:pPr>
      <w:r w:rsidRPr="007A76F3">
        <w:rPr>
          <w:noProof/>
        </w:rPr>
        <w:t>К</w:t>
      </w:r>
      <w:r w:rsidR="006E43CB">
        <w:rPr>
          <w:noProof/>
          <w:lang w:val="sr-Cyrl-BA"/>
        </w:rPr>
        <w:t>ао</w:t>
      </w:r>
      <w:r w:rsidRPr="007A76F3">
        <w:rPr>
          <w:noProof/>
        </w:rPr>
        <w:t xml:space="preserve"> што смо истакли, </w:t>
      </w:r>
      <w:r w:rsidRPr="007A76F3">
        <w:rPr>
          <w:noProof/>
          <w:lang w:val="sr-Latn-CS"/>
        </w:rPr>
        <w:t xml:space="preserve">Сектор за економско - правне послове, градско грађевинско земљиште и саобраћај је организован </w:t>
      </w:r>
      <w:r>
        <w:rPr>
          <w:noProof/>
        </w:rPr>
        <w:t>у пет служби, које су у 201</w:t>
      </w:r>
      <w:r w:rsidR="006E43CB">
        <w:rPr>
          <w:noProof/>
          <w:lang w:val="sr-Cyrl-BA"/>
        </w:rPr>
        <w:t>8</w:t>
      </w:r>
      <w:r>
        <w:rPr>
          <w:noProof/>
        </w:rPr>
        <w:t>. годин</w:t>
      </w:r>
      <w:r w:rsidR="006E43CB">
        <w:rPr>
          <w:noProof/>
          <w:lang w:val="sr-Cyrl-BA"/>
        </w:rPr>
        <w:t>и</w:t>
      </w:r>
      <w:r>
        <w:rPr>
          <w:noProof/>
        </w:rPr>
        <w:t xml:space="preserve"> обављле послове, свака из своје надлежности.</w:t>
      </w:r>
    </w:p>
    <w:p w:rsidR="00AF6FFE" w:rsidRDefault="00AF6FFE" w:rsidP="00AF6FFE">
      <w:pPr>
        <w:rPr>
          <w:b/>
          <w:i/>
          <w:sz w:val="28"/>
          <w:szCs w:val="28"/>
          <w:lang w:val="sr-Cyrl-CS"/>
        </w:rPr>
      </w:pPr>
    </w:p>
    <w:p w:rsidR="00AF6FFE" w:rsidRPr="001B51D4" w:rsidRDefault="00AF6FFE" w:rsidP="00AF6FFE">
      <w:pPr>
        <w:rPr>
          <w:b/>
          <w:i/>
          <w:lang w:val="sr-Cyrl-CS"/>
        </w:rPr>
      </w:pPr>
      <w:r w:rsidRPr="001B51D4">
        <w:rPr>
          <w:b/>
          <w:i/>
          <w:lang w:val="sr-Cyrl-CS"/>
        </w:rPr>
        <w:t>СЛУЖБА ЗА УРЕЂЕЊЕ ГРАЂЕВИНСКОГ ЗЕМЉИШТА И ИМОВИНСКО-ПРАВНЕ ПОСЛОВЕ</w:t>
      </w:r>
    </w:p>
    <w:p w:rsidR="00AF6FFE" w:rsidRPr="001B51D4" w:rsidRDefault="00AF6FFE" w:rsidP="00AF6FFE">
      <w:pPr>
        <w:jc w:val="both"/>
        <w:rPr>
          <w:b/>
          <w:i/>
          <w:lang w:val="sr-Cyrl-BA"/>
        </w:rPr>
      </w:pPr>
    </w:p>
    <w:p w:rsidR="00AF6FFE" w:rsidRPr="001A0BB0" w:rsidRDefault="0078490C" w:rsidP="00AF6FFE">
      <w:pPr>
        <w:ind w:firstLine="720"/>
        <w:jc w:val="both"/>
        <w:rPr>
          <w:lang w:val="bs-Cyrl-BA"/>
        </w:rPr>
      </w:pPr>
      <w:r>
        <w:rPr>
          <w:lang w:val="sr-Cyrl-BA"/>
        </w:rPr>
        <w:t>У 2018</w:t>
      </w:r>
      <w:r w:rsidR="00AF6FFE" w:rsidRPr="001A0BB0">
        <w:rPr>
          <w:lang w:val="sr-Cyrl-BA"/>
        </w:rPr>
        <w:t>.</w:t>
      </w:r>
      <w:r w:rsidR="00864E2B">
        <w:rPr>
          <w:lang w:val="sr-Latn-BA"/>
        </w:rPr>
        <w:t xml:space="preserve"> </w:t>
      </w:r>
      <w:r w:rsidR="00AF6FFE" w:rsidRPr="001A0BB0">
        <w:rPr>
          <w:lang w:val="sr-Cyrl-BA"/>
        </w:rPr>
        <w:t xml:space="preserve">години, на основу Одлуке о повјеравању послова уређења градског грађевинског земљишта </w:t>
      </w:r>
      <w:r w:rsidR="006E43CB">
        <w:rPr>
          <w:lang w:val="sr-Cyrl-BA"/>
        </w:rPr>
        <w:t>усвојене од стране</w:t>
      </w:r>
      <w:r w:rsidR="006E43CB" w:rsidRPr="006E43CB">
        <w:rPr>
          <w:lang w:val="sr-Cyrl-BA"/>
        </w:rPr>
        <w:t xml:space="preserve"> </w:t>
      </w:r>
      <w:r w:rsidR="006E43CB" w:rsidRPr="001A0BB0">
        <w:rPr>
          <w:lang w:val="sr-Cyrl-BA"/>
        </w:rPr>
        <w:t>Скупштине Града Бијељина</w:t>
      </w:r>
      <w:r w:rsidR="006E43CB">
        <w:rPr>
          <w:lang w:val="sr-Cyrl-BA"/>
        </w:rPr>
        <w:t xml:space="preserve"> </w:t>
      </w:r>
      <w:r w:rsidR="00AF6FFE" w:rsidRPr="001A0BB0">
        <w:rPr>
          <w:lang w:val="sr-Cyrl-BA"/>
        </w:rPr>
        <w:t>(„Сл</w:t>
      </w:r>
      <w:r w:rsidR="00864E2B">
        <w:rPr>
          <w:lang w:val="sr-Cyrl-BA"/>
        </w:rPr>
        <w:t xml:space="preserve">ужбени </w:t>
      </w:r>
      <w:r w:rsidR="00AF6FFE" w:rsidRPr="001A0BB0">
        <w:rPr>
          <w:lang w:val="sr-Cyrl-BA"/>
        </w:rPr>
        <w:t>гласник</w:t>
      </w:r>
      <w:r w:rsidR="00864E2B">
        <w:rPr>
          <w:lang w:val="sr-Latn-BA"/>
        </w:rPr>
        <w:t xml:space="preserve"> </w:t>
      </w:r>
      <w:r w:rsidR="00AF6FFE" w:rsidRPr="001A0BB0">
        <w:rPr>
          <w:lang w:val="sr-Cyrl-BA"/>
        </w:rPr>
        <w:t xml:space="preserve">Града Бијељина“ број: 19/09 и 23/12) и Споразума о уређењу градског </w:t>
      </w:r>
      <w:r w:rsidR="00AF6FFE" w:rsidRPr="001A0BB0">
        <w:rPr>
          <w:lang w:val="sr-Cyrl-BA"/>
        </w:rPr>
        <w:lastRenderedPageBreak/>
        <w:t xml:space="preserve">грађевинског земљишта по основу одобрених кредитних средстава између Града и Дирекције </w:t>
      </w:r>
      <w:r w:rsidR="00864E2B">
        <w:rPr>
          <w:lang w:val="sr-Cyrl-BA"/>
        </w:rPr>
        <w:t xml:space="preserve">(акт </w:t>
      </w:r>
      <w:r w:rsidR="00AF6FFE" w:rsidRPr="001A0BB0">
        <w:rPr>
          <w:lang w:val="sr-Cyrl-BA"/>
        </w:rPr>
        <w:t>број: 02-475-159 и И-471713 од 27.06.2013.године</w:t>
      </w:r>
      <w:r w:rsidR="00864E2B">
        <w:rPr>
          <w:lang w:val="sr-Cyrl-BA"/>
        </w:rPr>
        <w:t>)</w:t>
      </w:r>
      <w:r w:rsidR="00AF6FFE" w:rsidRPr="001A0BB0">
        <w:rPr>
          <w:lang w:val="sr-Cyrl-BA"/>
        </w:rPr>
        <w:t xml:space="preserve"> у складу са законским и подзаконским прописима из области уређења простора, грађења, градског грађевинског земљишта, и стварних права на непокретностима, а у циљу спровођења транспарентне земљишне политике на нивоу Града, </w:t>
      </w:r>
      <w:r w:rsidR="00864E2B">
        <w:rPr>
          <w:lang w:val="sr-Cyrl-BA"/>
        </w:rPr>
        <w:t>Служб</w:t>
      </w:r>
      <w:r w:rsidR="00C71FD4">
        <w:rPr>
          <w:lang w:val="sr-Latn-BA"/>
        </w:rPr>
        <w:t>a</w:t>
      </w:r>
      <w:r w:rsidR="00AF6FFE" w:rsidRPr="001A0BB0">
        <w:rPr>
          <w:lang w:val="sr-Cyrl-BA"/>
        </w:rPr>
        <w:t xml:space="preserve"> је врши</w:t>
      </w:r>
      <w:r w:rsidR="00864E2B">
        <w:rPr>
          <w:lang w:val="sr-Cyrl-BA"/>
        </w:rPr>
        <w:t>ла</w:t>
      </w:r>
      <w:r w:rsidR="00AF6FFE" w:rsidRPr="001A0BB0">
        <w:rPr>
          <w:lang w:val="sr-Cyrl-BA"/>
        </w:rPr>
        <w:t xml:space="preserve"> разне активности  </w:t>
      </w:r>
      <w:r w:rsidR="00864E2B">
        <w:rPr>
          <w:lang w:val="sr-Cyrl-BA"/>
        </w:rPr>
        <w:t>од</w:t>
      </w:r>
      <w:r w:rsidR="00AF6FFE" w:rsidRPr="001A0BB0">
        <w:rPr>
          <w:lang w:val="sr-Cyrl-BA"/>
        </w:rPr>
        <w:t xml:space="preserve"> којих је приоритетна била активност на спровођењу регулационих планова „Индустријска зона 2“ и „Индустријска зона 3“</w:t>
      </w:r>
      <w:r w:rsidR="00864E2B">
        <w:rPr>
          <w:lang w:val="sr-Cyrl-BA"/>
        </w:rPr>
        <w:t>.</w:t>
      </w:r>
      <w:r w:rsidR="00AF6FFE" w:rsidRPr="001A0BB0">
        <w:rPr>
          <w:lang w:val="sr-Cyrl-BA"/>
        </w:rPr>
        <w:t xml:space="preserve"> </w:t>
      </w:r>
      <w:r w:rsidR="00864E2B">
        <w:rPr>
          <w:lang w:val="sr-Cyrl-BA"/>
        </w:rPr>
        <w:t>Рађени су</w:t>
      </w:r>
      <w:r w:rsidR="00AF6FFE" w:rsidRPr="001A0BB0">
        <w:rPr>
          <w:lang w:val="sr-Cyrl-BA"/>
        </w:rPr>
        <w:t xml:space="preserve"> приједло</w:t>
      </w:r>
      <w:r w:rsidR="00864E2B">
        <w:rPr>
          <w:lang w:val="sr-Cyrl-BA"/>
        </w:rPr>
        <w:t>зи</w:t>
      </w:r>
      <w:r w:rsidR="00AF6FFE" w:rsidRPr="001A0BB0">
        <w:rPr>
          <w:lang w:val="sr-Cyrl-BA"/>
        </w:rPr>
        <w:t xml:space="preserve"> скупштинских </w:t>
      </w:r>
      <w:r w:rsidR="00864E2B">
        <w:rPr>
          <w:lang w:val="sr-Cyrl-BA"/>
        </w:rPr>
        <w:t>о</w:t>
      </w:r>
      <w:r w:rsidR="00AF6FFE" w:rsidRPr="001A0BB0">
        <w:rPr>
          <w:lang w:val="sr-Cyrl-BA"/>
        </w:rPr>
        <w:t xml:space="preserve">длука о начину и условима продаје градског грађевинског земљишта, као и </w:t>
      </w:r>
      <w:r w:rsidR="00864E2B">
        <w:rPr>
          <w:lang w:val="sr-Cyrl-BA"/>
        </w:rPr>
        <w:t>о</w:t>
      </w:r>
      <w:r w:rsidR="00AF6FFE" w:rsidRPr="001A0BB0">
        <w:rPr>
          <w:lang w:val="sr-Cyrl-BA"/>
        </w:rPr>
        <w:t>глас</w:t>
      </w:r>
      <w:r w:rsidR="00864E2B">
        <w:rPr>
          <w:lang w:val="sr-Cyrl-BA"/>
        </w:rPr>
        <w:t>и</w:t>
      </w:r>
      <w:r w:rsidR="00AF6FFE" w:rsidRPr="001A0BB0">
        <w:rPr>
          <w:lang w:val="sr-Cyrl-BA"/>
        </w:rPr>
        <w:t xml:space="preserve"> о продаји грађевинског земљишта у својини Града Бијељина, све по захтјеву Одјељења за стамбено-комуналне послове и заштиту животне средине </w:t>
      </w:r>
      <w:r w:rsidR="00864E2B">
        <w:rPr>
          <w:lang w:val="sr-Cyrl-BA"/>
        </w:rPr>
        <w:t>Градске управе</w:t>
      </w:r>
      <w:r w:rsidR="00AF6FFE" w:rsidRPr="001A0BB0">
        <w:rPr>
          <w:lang w:val="sr-Cyrl-BA"/>
        </w:rPr>
        <w:t xml:space="preserve"> </w:t>
      </w:r>
      <w:r w:rsidR="00864E2B">
        <w:rPr>
          <w:lang w:val="sr-Cyrl-BA"/>
        </w:rPr>
        <w:t>Г</w:t>
      </w:r>
      <w:r w:rsidR="00AF6FFE" w:rsidRPr="001A0BB0">
        <w:rPr>
          <w:lang w:val="sr-Cyrl-BA"/>
        </w:rPr>
        <w:t>рада Бијељина</w:t>
      </w:r>
      <w:r w:rsidR="00864E2B">
        <w:rPr>
          <w:lang w:val="sr-Cyrl-BA"/>
        </w:rPr>
        <w:t>. К</w:t>
      </w:r>
      <w:r w:rsidR="00AF6FFE" w:rsidRPr="001A0BB0">
        <w:rPr>
          <w:lang w:val="sr-Cyrl-BA"/>
        </w:rPr>
        <w:t>онтинуирано</w:t>
      </w:r>
      <w:r w:rsidR="00864E2B">
        <w:rPr>
          <w:lang w:val="sr-Cyrl-BA"/>
        </w:rPr>
        <w:t xml:space="preserve"> је</w:t>
      </w:r>
      <w:r w:rsidR="00AF6FFE" w:rsidRPr="001A0BB0">
        <w:rPr>
          <w:lang w:val="sr-Cyrl-BA"/>
        </w:rPr>
        <w:t xml:space="preserve"> во</w:t>
      </w:r>
      <w:r w:rsidR="00864E2B">
        <w:rPr>
          <w:lang w:val="sr-Cyrl-BA"/>
        </w:rPr>
        <w:t>ђен</w:t>
      </w:r>
      <w:r w:rsidR="00AF6FFE" w:rsidRPr="001A0BB0">
        <w:rPr>
          <w:lang w:val="sr-Cyrl-BA"/>
        </w:rPr>
        <w:t xml:space="preserve"> и одржава</w:t>
      </w:r>
      <w:r w:rsidR="00864E2B">
        <w:rPr>
          <w:lang w:val="sr-Cyrl-BA"/>
        </w:rPr>
        <w:t xml:space="preserve">н </w:t>
      </w:r>
      <w:r w:rsidR="00AF6FFE" w:rsidRPr="001A0BB0">
        <w:rPr>
          <w:lang w:val="sr-Cyrl-BA"/>
        </w:rPr>
        <w:t>табеларни преглед статуса и промета грађевинских парцела</w:t>
      </w:r>
      <w:r w:rsidR="00AF6FFE" w:rsidRPr="001A0BB0">
        <w:rPr>
          <w:lang w:val="bs-Latn-BA"/>
        </w:rPr>
        <w:t xml:space="preserve"> након лицитационих поступака или поступка непосредне погодбе.</w:t>
      </w:r>
    </w:p>
    <w:p w:rsidR="00AF6FFE" w:rsidRPr="001A0BB0" w:rsidRDefault="00AF6FFE" w:rsidP="00AF6FFE">
      <w:pPr>
        <w:jc w:val="both"/>
        <w:rPr>
          <w:lang w:val="sr-Cyrl-BA"/>
        </w:rPr>
      </w:pPr>
    </w:p>
    <w:p w:rsidR="00AF6FFE" w:rsidRPr="001A0BB0" w:rsidRDefault="00AF6FFE" w:rsidP="00AF6FFE">
      <w:pPr>
        <w:ind w:firstLine="720"/>
        <w:jc w:val="both"/>
        <w:rPr>
          <w:lang w:val="sr-Cyrl-BA"/>
        </w:rPr>
      </w:pPr>
      <w:r w:rsidRPr="001A0BB0">
        <w:rPr>
          <w:lang w:val="sr-Cyrl-BA"/>
        </w:rPr>
        <w:t>Поред наведеног</w:t>
      </w:r>
      <w:r w:rsidR="00864E2B">
        <w:rPr>
          <w:lang w:val="sr-Cyrl-BA"/>
        </w:rPr>
        <w:t>,</w:t>
      </w:r>
      <w:r w:rsidRPr="001A0BB0">
        <w:rPr>
          <w:lang w:val="sr-Cyrl-BA"/>
        </w:rPr>
        <w:t xml:space="preserve"> </w:t>
      </w:r>
      <w:r w:rsidR="00864E2B">
        <w:rPr>
          <w:lang w:val="sr-Cyrl-BA"/>
        </w:rPr>
        <w:t>Служба</w:t>
      </w:r>
      <w:r w:rsidRPr="001A0BB0">
        <w:rPr>
          <w:lang w:val="sr-Cyrl-BA"/>
        </w:rPr>
        <w:t xml:space="preserve"> је координира</w:t>
      </w:r>
      <w:r w:rsidR="00864E2B">
        <w:rPr>
          <w:lang w:val="sr-Cyrl-BA"/>
        </w:rPr>
        <w:t>ла</w:t>
      </w:r>
      <w:r w:rsidRPr="001A0BB0">
        <w:rPr>
          <w:lang w:val="sr-Cyrl-BA"/>
        </w:rPr>
        <w:t xml:space="preserve"> са Одсјеком за економско локални развој Кабинета Градоначелника у погледу земљишта у обухвату регулационих планова „Индустријска зона 2</w:t>
      </w:r>
      <w:r w:rsidR="00864E2B">
        <w:rPr>
          <w:lang w:val="sr-Cyrl-BA"/>
        </w:rPr>
        <w:t xml:space="preserve">“ </w:t>
      </w:r>
      <w:r w:rsidRPr="001A0BB0">
        <w:rPr>
          <w:lang w:val="sr-Cyrl-BA"/>
        </w:rPr>
        <w:t xml:space="preserve"> и </w:t>
      </w:r>
      <w:r w:rsidR="00864E2B" w:rsidRPr="001A0BB0">
        <w:rPr>
          <w:lang w:val="sr-Cyrl-BA"/>
        </w:rPr>
        <w:t xml:space="preserve">„Индустријска зона </w:t>
      </w:r>
      <w:r w:rsidRPr="001A0BB0">
        <w:rPr>
          <w:lang w:val="sr-Cyrl-BA"/>
        </w:rPr>
        <w:t xml:space="preserve">3“ достављајући Одсјеку релевантне податке о стању уређења земљишта у оквиру наведених регулационих планова, планираном уређењу инфраструктуре, табеларним прегледима расположивих грађевинских парцела са дескрипцијом, прегледима остварених контаката са потенцијаним инвеститорима, давању координата детаљних тачака планиране инфраструктуре, давању мишљења у смислу измјене докумената просторног уређења, као и Динамике уређења земљишта у складу са Плановима </w:t>
      </w:r>
    </w:p>
    <w:p w:rsidR="00AF6FFE" w:rsidRDefault="00704860" w:rsidP="00AF6FFE">
      <w:pPr>
        <w:ind w:firstLine="720"/>
        <w:jc w:val="both"/>
        <w:rPr>
          <w:lang w:val="sr-Cyrl-BA"/>
        </w:rPr>
      </w:pPr>
      <w:r>
        <w:rPr>
          <w:lang w:val="sr-Latn-BA"/>
        </w:rPr>
        <w:t>У 201</w:t>
      </w:r>
      <w:r>
        <w:rPr>
          <w:lang w:val="sr-Cyrl-BA"/>
        </w:rPr>
        <w:t>8</w:t>
      </w:r>
      <w:r w:rsidR="00AF6FFE" w:rsidRPr="001A0BB0">
        <w:rPr>
          <w:lang w:val="sr-Latn-BA"/>
        </w:rPr>
        <w:t xml:space="preserve">. </w:t>
      </w:r>
      <w:r w:rsidR="00AF6FFE" w:rsidRPr="001A0BB0">
        <w:rPr>
          <w:lang w:val="sr-Cyrl-BA"/>
        </w:rPr>
        <w:t>г</w:t>
      </w:r>
      <w:r w:rsidR="00AF6FFE" w:rsidRPr="001A0BB0">
        <w:rPr>
          <w:lang w:val="sr-Latn-BA"/>
        </w:rPr>
        <w:t>од</w:t>
      </w:r>
      <w:r w:rsidR="00864E2B">
        <w:rPr>
          <w:lang w:val="sr-Cyrl-BA"/>
        </w:rPr>
        <w:t>ини</w:t>
      </w:r>
      <w:r>
        <w:rPr>
          <w:lang w:val="sr-Cyrl-BA"/>
        </w:rPr>
        <w:t xml:space="preserve"> Град</w:t>
      </w:r>
      <w:r w:rsidR="00864E2B">
        <w:rPr>
          <w:lang w:val="sr-Cyrl-BA"/>
        </w:rPr>
        <w:t xml:space="preserve"> је</w:t>
      </w:r>
      <w:r>
        <w:rPr>
          <w:lang w:val="sr-Cyrl-BA"/>
        </w:rPr>
        <w:t xml:space="preserve"> кроз одржане лицитационие поступке</w:t>
      </w:r>
      <w:r w:rsidR="00AF6FFE" w:rsidRPr="001A0BB0">
        <w:rPr>
          <w:lang w:val="sr-Cyrl-BA"/>
        </w:rPr>
        <w:t xml:space="preserve"> продао </w:t>
      </w:r>
      <w:r>
        <w:rPr>
          <w:lang w:val="sr-Cyrl-BA"/>
        </w:rPr>
        <w:t>3 грађевинске</w:t>
      </w:r>
      <w:r w:rsidR="00AF6FFE" w:rsidRPr="001A0BB0">
        <w:rPr>
          <w:lang w:val="sr-Cyrl-BA"/>
        </w:rPr>
        <w:t xml:space="preserve"> парцел</w:t>
      </w:r>
      <w:r w:rsidR="00864E2B">
        <w:rPr>
          <w:lang w:val="sr-Cyrl-BA"/>
        </w:rPr>
        <w:t xml:space="preserve">е </w:t>
      </w:r>
      <w:r w:rsidR="00AF6FFE" w:rsidRPr="001A0BB0">
        <w:rPr>
          <w:lang w:val="sr-Cyrl-BA"/>
        </w:rPr>
        <w:t>у</w:t>
      </w:r>
      <w:r w:rsidR="00864E2B">
        <w:rPr>
          <w:lang w:val="sr-Cyrl-BA"/>
        </w:rPr>
        <w:t xml:space="preserve"> “</w:t>
      </w:r>
      <w:r w:rsidR="00AF6FFE" w:rsidRPr="001A0BB0">
        <w:rPr>
          <w:lang w:val="sr-Cyrl-BA"/>
        </w:rPr>
        <w:t xml:space="preserve"> Индустриској зони 2</w:t>
      </w:r>
      <w:r w:rsidR="00864E2B">
        <w:rPr>
          <w:lang w:val="sr-Cyrl-BA"/>
        </w:rPr>
        <w:t>“</w:t>
      </w:r>
      <w:r>
        <w:rPr>
          <w:lang w:val="sr-Cyrl-BA"/>
        </w:rPr>
        <w:t xml:space="preserve"> и</w:t>
      </w:r>
      <w:r w:rsidR="00864E2B">
        <w:rPr>
          <w:lang w:val="sr-Cyrl-BA"/>
        </w:rPr>
        <w:t xml:space="preserve"> „Индустријској зони </w:t>
      </w:r>
      <w:r>
        <w:rPr>
          <w:lang w:val="sr-Cyrl-BA"/>
        </w:rPr>
        <w:t>3</w:t>
      </w:r>
      <w:r w:rsidR="00864E2B">
        <w:rPr>
          <w:lang w:val="sr-Cyrl-BA"/>
        </w:rPr>
        <w:t>“</w:t>
      </w:r>
      <w:r w:rsidR="00AF6FFE">
        <w:rPr>
          <w:lang w:val="sr-Cyrl-BA"/>
        </w:rPr>
        <w:t xml:space="preserve">. </w:t>
      </w:r>
    </w:p>
    <w:p w:rsidR="00AF6FFE" w:rsidRPr="001A0BB0" w:rsidRDefault="00AF6FFE" w:rsidP="00AF6FFE">
      <w:pPr>
        <w:ind w:firstLine="720"/>
        <w:jc w:val="both"/>
        <w:rPr>
          <w:lang w:val="sr-Cyrl-BA"/>
        </w:rPr>
      </w:pPr>
    </w:p>
    <w:p w:rsidR="00AF6FFE" w:rsidRPr="001A0BB0" w:rsidRDefault="00864E2B" w:rsidP="00CA4F3F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Служба </w:t>
      </w:r>
      <w:r w:rsidR="00AF6FFE" w:rsidRPr="001A0BB0">
        <w:rPr>
          <w:lang w:val="sr-Cyrl-BA"/>
        </w:rPr>
        <w:t xml:space="preserve"> је у смислу члана 78. Закона о уређењу простора и грађењу („Сл</w:t>
      </w:r>
      <w:r>
        <w:rPr>
          <w:lang w:val="sr-Cyrl-BA"/>
        </w:rPr>
        <w:t xml:space="preserve">ужбени </w:t>
      </w:r>
      <w:r w:rsidR="00AF6FFE" w:rsidRPr="001A0BB0">
        <w:rPr>
          <w:lang w:val="sr-Cyrl-BA"/>
        </w:rPr>
        <w:t>гласник Ребулике Српске“, број: 40/13</w:t>
      </w:r>
      <w:r>
        <w:rPr>
          <w:lang w:val="sr-Cyrl-BA"/>
        </w:rPr>
        <w:t>, 106/15 и 3/16</w:t>
      </w:r>
      <w:r w:rsidR="00AF6FFE" w:rsidRPr="001A0BB0">
        <w:rPr>
          <w:lang w:val="sr-Cyrl-BA"/>
        </w:rPr>
        <w:t>), на основу Споразума о вршењу послова код опремања градског грађевинског земљишта</w:t>
      </w:r>
      <w:r w:rsidR="00E107FD" w:rsidRPr="00E107FD">
        <w:rPr>
          <w:lang w:val="sr-Cyrl-BA"/>
        </w:rPr>
        <w:t xml:space="preserve"> </w:t>
      </w:r>
      <w:r w:rsidR="00E107FD" w:rsidRPr="001A0BB0">
        <w:rPr>
          <w:lang w:val="sr-Cyrl-BA"/>
        </w:rPr>
        <w:t>у уговорном односу Града и Инвеститора</w:t>
      </w:r>
      <w:r w:rsidR="00E107FD">
        <w:rPr>
          <w:lang w:val="sr-Cyrl-BA"/>
        </w:rPr>
        <w:t>,</w:t>
      </w:r>
      <w:r w:rsidR="00981368" w:rsidRPr="00981368">
        <w:rPr>
          <w:lang w:val="sr-Cyrl-BA"/>
        </w:rPr>
        <w:t xml:space="preserve"> </w:t>
      </w:r>
      <w:r w:rsidR="00981368">
        <w:rPr>
          <w:lang w:val="sr-Cyrl-BA"/>
        </w:rPr>
        <w:t>(акт број:</w:t>
      </w:r>
      <w:r w:rsidR="00981368" w:rsidRPr="001A0BB0">
        <w:rPr>
          <w:lang w:val="sr-Cyrl-BA"/>
        </w:rPr>
        <w:t xml:space="preserve"> 02-475-224/14 од 02.10.2014.године и И-559/14 од 03.10.2014.године</w:t>
      </w:r>
      <w:r w:rsidR="00C71FD4">
        <w:rPr>
          <w:lang w:val="sr-Latn-BA"/>
        </w:rPr>
        <w:t>)</w:t>
      </w:r>
      <w:r w:rsidR="00E107FD">
        <w:rPr>
          <w:lang w:val="sr-Cyrl-BA"/>
        </w:rPr>
        <w:t xml:space="preserve"> закључен</w:t>
      </w:r>
      <w:r w:rsidR="00C71FD4">
        <w:rPr>
          <w:lang w:val="sr-Latn-BA"/>
        </w:rPr>
        <w:t>o</w:t>
      </w:r>
      <w:r w:rsidR="00C71FD4">
        <w:rPr>
          <w:lang w:val="sr-Cyrl-BA"/>
        </w:rPr>
        <w:t>г</w:t>
      </w:r>
      <w:r w:rsidR="00E107FD">
        <w:rPr>
          <w:lang w:val="sr-Cyrl-BA"/>
        </w:rPr>
        <w:t xml:space="preserve"> између Града Бијељина и ЈП „Дирекција за изградњу и развој града“ д.о.о. Бијрељина </w:t>
      </w:r>
      <w:r w:rsidR="00AF6FFE" w:rsidRPr="001A0BB0">
        <w:rPr>
          <w:lang w:val="sr-Cyrl-BA"/>
        </w:rPr>
        <w:t>и појединачних захтјева Одјељења за стамбено-комуналне односе и заштиту животне средине Г</w:t>
      </w:r>
      <w:r w:rsidR="00C71FD4">
        <w:rPr>
          <w:lang w:val="sr-Cyrl-BA"/>
        </w:rPr>
        <w:t>радске управе</w:t>
      </w:r>
      <w:r w:rsidR="00AF6FFE" w:rsidRPr="001A0BB0">
        <w:rPr>
          <w:lang w:val="sr-Cyrl-BA"/>
        </w:rPr>
        <w:t xml:space="preserve"> Града Бијељина за поступање по захтјеву </w:t>
      </w:r>
      <w:r w:rsidR="00C71FD4">
        <w:rPr>
          <w:lang w:val="sr-Cyrl-BA"/>
        </w:rPr>
        <w:t>и</w:t>
      </w:r>
      <w:r w:rsidR="00AF6FFE" w:rsidRPr="001A0BB0">
        <w:rPr>
          <w:lang w:val="sr-Cyrl-BA"/>
        </w:rPr>
        <w:t xml:space="preserve">нвеститора, користећи податке важеће просторно-планске документације и јавних евиденција непокретности, као и стања на терену, израдио </w:t>
      </w:r>
      <w:r w:rsidR="00704860">
        <w:rPr>
          <w:lang w:val="sr-Cyrl-BA"/>
        </w:rPr>
        <w:t>6</w:t>
      </w:r>
      <w:r w:rsidR="00AF6FFE" w:rsidRPr="001A0BB0">
        <w:rPr>
          <w:lang w:val="sr-Cyrl-BA"/>
        </w:rPr>
        <w:t xml:space="preserve"> приједлога различитих  </w:t>
      </w:r>
      <w:r w:rsidR="00E107FD">
        <w:rPr>
          <w:lang w:val="sr-Cyrl-BA"/>
        </w:rPr>
        <w:t>у</w:t>
      </w:r>
      <w:r w:rsidR="00AF6FFE" w:rsidRPr="001A0BB0">
        <w:rPr>
          <w:lang w:val="sr-Cyrl-BA"/>
        </w:rPr>
        <w:t xml:space="preserve">говора о финансирању опремања грађевинског земљишта  са </w:t>
      </w:r>
      <w:r w:rsidR="00E107FD">
        <w:rPr>
          <w:lang w:val="sr-Cyrl-BA"/>
        </w:rPr>
        <w:t>о</w:t>
      </w:r>
      <w:r w:rsidR="00AF6FFE" w:rsidRPr="001A0BB0">
        <w:rPr>
          <w:lang w:val="sr-Cyrl-BA"/>
        </w:rPr>
        <w:t>брачунима прелиминарних износа стварних трошкова комуналног опремања ГГЗ, на основу којих је Град са Инвеститорима закључивао уговорне односе</w:t>
      </w:r>
      <w:r w:rsidR="00CA4F3F">
        <w:rPr>
          <w:lang w:val="sr-Cyrl-BA"/>
        </w:rPr>
        <w:t xml:space="preserve"> </w:t>
      </w:r>
      <w:r w:rsidR="00AF6FFE" w:rsidRPr="001A0BB0">
        <w:rPr>
          <w:lang w:val="sr-Cyrl-BA"/>
        </w:rPr>
        <w:t>(ГП „Техника инжињеринг“Бијељина-</w:t>
      </w:r>
      <w:r w:rsidR="00E73020">
        <w:rPr>
          <w:lang w:val="sr-Cyrl-BA"/>
        </w:rPr>
        <w:t>2</w:t>
      </w:r>
      <w:r w:rsidR="00AF6FFE" w:rsidRPr="001A0BB0">
        <w:rPr>
          <w:lang w:val="sr-Cyrl-BA"/>
        </w:rPr>
        <w:t xml:space="preserve"> приједлога, ДОО“</w:t>
      </w:r>
      <w:r w:rsidR="00E73020">
        <w:rPr>
          <w:lang w:val="sr-Cyrl-BA"/>
        </w:rPr>
        <w:t>Римакс инвест</w:t>
      </w:r>
      <w:r w:rsidR="00AF6FFE" w:rsidRPr="001A0BB0">
        <w:rPr>
          <w:lang w:val="sr-Cyrl-BA"/>
        </w:rPr>
        <w:t>“</w:t>
      </w:r>
      <w:r w:rsidR="00EE0A59">
        <w:rPr>
          <w:lang w:val="sr-Cyrl-BA"/>
        </w:rPr>
        <w:t xml:space="preserve"> </w:t>
      </w:r>
      <w:r w:rsidR="00AF6FFE" w:rsidRPr="001A0BB0">
        <w:rPr>
          <w:lang w:val="sr-Cyrl-BA"/>
        </w:rPr>
        <w:t>Бијељина-1 приједлог, ДОО „</w:t>
      </w:r>
      <w:r w:rsidR="00E73020">
        <w:rPr>
          <w:lang w:val="sr-Cyrl-BA"/>
        </w:rPr>
        <w:t>ОЛП</w:t>
      </w:r>
      <w:r w:rsidR="00AF6FFE" w:rsidRPr="001A0BB0">
        <w:rPr>
          <w:lang w:val="sr-Cyrl-BA"/>
        </w:rPr>
        <w:t>“</w:t>
      </w:r>
      <w:r w:rsidR="00EE0A59">
        <w:rPr>
          <w:lang w:val="sr-Cyrl-BA"/>
        </w:rPr>
        <w:t xml:space="preserve"> </w:t>
      </w:r>
      <w:r w:rsidR="00AF6FFE" w:rsidRPr="001A0BB0">
        <w:rPr>
          <w:lang w:val="sr-Cyrl-BA"/>
        </w:rPr>
        <w:t>Бијељина-1 приједлог, „</w:t>
      </w:r>
      <w:r w:rsidR="00E73020">
        <w:rPr>
          <w:lang w:val="sr-Latn-BA"/>
        </w:rPr>
        <w:t>GAMA$</w:t>
      </w:r>
      <w:r w:rsidR="00AF6FFE" w:rsidRPr="001A0BB0">
        <w:rPr>
          <w:lang w:val="sr-Cyrl-BA"/>
        </w:rPr>
        <w:t xml:space="preserve">“ ДОО </w:t>
      </w:r>
      <w:r w:rsidR="00E73020">
        <w:rPr>
          <w:lang w:val="sr-Cyrl-BA"/>
        </w:rPr>
        <w:t>Бијељина</w:t>
      </w:r>
      <w:r w:rsidR="00AF6FFE" w:rsidRPr="001A0BB0">
        <w:rPr>
          <w:lang w:val="sr-Cyrl-BA"/>
        </w:rPr>
        <w:t>-1 приједлог)</w:t>
      </w:r>
      <w:r w:rsidR="00E73020">
        <w:rPr>
          <w:lang w:val="sr-Cyrl-BA"/>
        </w:rPr>
        <w:t xml:space="preserve"> и </w:t>
      </w:r>
      <w:r w:rsidR="00E73020" w:rsidRPr="001A0BB0">
        <w:rPr>
          <w:lang w:val="sr-Cyrl-BA"/>
        </w:rPr>
        <w:t>ДОО „</w:t>
      </w:r>
      <w:r w:rsidR="00E73020">
        <w:rPr>
          <w:lang w:val="sr-Cyrl-BA"/>
        </w:rPr>
        <w:t>Интергај</w:t>
      </w:r>
      <w:r w:rsidR="00E73020" w:rsidRPr="001A0BB0">
        <w:rPr>
          <w:lang w:val="sr-Cyrl-BA"/>
        </w:rPr>
        <w:t>“Бијељина-1 приједлог</w:t>
      </w:r>
      <w:r w:rsidR="00CA4F3F">
        <w:rPr>
          <w:lang w:val="sr-Cyrl-BA"/>
        </w:rPr>
        <w:t>).</w:t>
      </w:r>
    </w:p>
    <w:p w:rsidR="00AF6FFE" w:rsidRPr="001A0BB0" w:rsidRDefault="00AF6FFE" w:rsidP="00AF6FFE">
      <w:pPr>
        <w:jc w:val="both"/>
        <w:rPr>
          <w:lang w:val="sr-Cyrl-BA"/>
        </w:rPr>
      </w:pPr>
    </w:p>
    <w:p w:rsidR="00AF6FFE" w:rsidRPr="001A0BB0" w:rsidRDefault="00E107FD" w:rsidP="00AF6FFE">
      <w:pPr>
        <w:ind w:firstLine="720"/>
        <w:jc w:val="both"/>
        <w:rPr>
          <w:lang w:val="bs-Cyrl-BA"/>
        </w:rPr>
      </w:pPr>
      <w:r>
        <w:rPr>
          <w:lang w:val="sr-Cyrl-CS"/>
        </w:rPr>
        <w:t>Служба</w:t>
      </w:r>
      <w:r w:rsidR="000F7BE0">
        <w:rPr>
          <w:lang w:val="sr-Cyrl-CS"/>
        </w:rPr>
        <w:t xml:space="preserve"> је током 2018</w:t>
      </w:r>
      <w:r w:rsidR="00AF6FFE" w:rsidRPr="001A0BB0">
        <w:rPr>
          <w:lang w:val="sr-Cyrl-CS"/>
        </w:rPr>
        <w:t>.године од Одјељења за стамбено-комуналне послове и заштиту животне средине Градске управе Града Бијељина заприми</w:t>
      </w:r>
      <w:r>
        <w:rPr>
          <w:lang w:val="sr-Cyrl-CS"/>
        </w:rPr>
        <w:t>ла</w:t>
      </w:r>
      <w:r w:rsidR="00AF6FFE" w:rsidRPr="001A0BB0">
        <w:rPr>
          <w:lang w:val="sr-Cyrl-CS"/>
        </w:rPr>
        <w:t xml:space="preserve"> </w:t>
      </w:r>
      <w:r w:rsidR="00704860">
        <w:rPr>
          <w:lang w:val="sr-Cyrl-CS"/>
        </w:rPr>
        <w:t>52</w:t>
      </w:r>
      <w:r w:rsidR="00AF6FFE" w:rsidRPr="001A0BB0">
        <w:rPr>
          <w:lang w:val="sr-Cyrl-CS"/>
        </w:rPr>
        <w:t xml:space="preserve"> зах</w:t>
      </w:r>
      <w:r w:rsidR="00704860">
        <w:rPr>
          <w:lang w:val="sr-Cyrl-CS"/>
        </w:rPr>
        <w:t>тјева за процјену непокретности.</w:t>
      </w:r>
      <w:r w:rsidR="00AF6FFE" w:rsidRPr="001A0BB0">
        <w:rPr>
          <w:lang w:val="sr-Cyrl-CS"/>
        </w:rPr>
        <w:t xml:space="preserve"> </w:t>
      </w:r>
    </w:p>
    <w:p w:rsidR="00AF6FFE" w:rsidRPr="001A0BB0" w:rsidRDefault="00AF6FFE" w:rsidP="00AF6FFE">
      <w:pPr>
        <w:jc w:val="both"/>
        <w:rPr>
          <w:lang w:val="bs-Latn-BA"/>
        </w:rPr>
      </w:pPr>
    </w:p>
    <w:p w:rsidR="00AF6FFE" w:rsidRDefault="00AF6FFE" w:rsidP="00AF6FFE">
      <w:pPr>
        <w:ind w:firstLine="360"/>
        <w:jc w:val="both"/>
        <w:rPr>
          <w:lang w:val="bs-Cyrl-BA"/>
        </w:rPr>
      </w:pPr>
      <w:r w:rsidRPr="001A0BB0">
        <w:rPr>
          <w:lang w:val="bs-Cyrl-BA"/>
        </w:rPr>
        <w:t xml:space="preserve">Поред горе изложеног, </w:t>
      </w:r>
      <w:r w:rsidR="00E107FD">
        <w:rPr>
          <w:lang w:val="bs-Cyrl-BA"/>
        </w:rPr>
        <w:t>Служба</w:t>
      </w:r>
      <w:r w:rsidRPr="001A0BB0">
        <w:rPr>
          <w:lang w:val="bs-Cyrl-BA"/>
        </w:rPr>
        <w:t xml:space="preserve"> је континуирано сарађива</w:t>
      </w:r>
      <w:r w:rsidR="00E107FD">
        <w:rPr>
          <w:lang w:val="bs-Cyrl-BA"/>
        </w:rPr>
        <w:t>ла</w:t>
      </w:r>
      <w:r w:rsidRPr="001A0BB0">
        <w:rPr>
          <w:lang w:val="bs-Cyrl-BA"/>
        </w:rPr>
        <w:t xml:space="preserve"> са надлежним Одјељењима </w:t>
      </w:r>
      <w:r w:rsidR="00E107FD">
        <w:rPr>
          <w:lang w:val="bs-Cyrl-BA"/>
        </w:rPr>
        <w:t>Градске управе</w:t>
      </w:r>
      <w:r w:rsidRPr="001A0BB0">
        <w:rPr>
          <w:lang w:val="bs-Cyrl-BA"/>
        </w:rPr>
        <w:t xml:space="preserve"> Града Бијељина из области спровођења земљишне политике, израђујући на њихов захтјев поднеске у форми мишљења, амандмана, табеларних прегледа грађевинских парцела и сл., уз пријем странака као потенцијалних инвеститора за грађење објеката у обухвату спроведбених докумената просторног уређења.</w:t>
      </w:r>
    </w:p>
    <w:p w:rsidR="00AF6FFE" w:rsidRPr="009955C4" w:rsidRDefault="00AF6FFE" w:rsidP="00AF6FFE">
      <w:pPr>
        <w:rPr>
          <w:b/>
          <w:i/>
          <w:lang w:val="sr-Cyrl-CS"/>
        </w:rPr>
      </w:pPr>
      <w:r w:rsidRPr="009955C4">
        <w:rPr>
          <w:b/>
          <w:i/>
          <w:lang w:val="sr-Cyrl-CS"/>
        </w:rPr>
        <w:lastRenderedPageBreak/>
        <w:t>СЛУЖБА ЗА УПРАВЉАЊЕ ЈАВНИМ ПАРКИРАЛИШТИМА</w:t>
      </w:r>
    </w:p>
    <w:p w:rsidR="00AF6FFE" w:rsidRPr="009955C4" w:rsidRDefault="00AF6FFE" w:rsidP="00AF6FFE">
      <w:pPr>
        <w:ind w:left="-540"/>
        <w:rPr>
          <w:b/>
          <w:i/>
          <w:lang w:val="sr-Cyrl-BA"/>
        </w:rPr>
      </w:pPr>
    </w:p>
    <w:p w:rsidR="00AF6FFE" w:rsidRPr="007D24C2" w:rsidRDefault="00AF6FFE" w:rsidP="00AF6FFE">
      <w:pPr>
        <w:rPr>
          <w:lang w:val="sr-Cyrl-BA"/>
        </w:rPr>
      </w:pPr>
    </w:p>
    <w:p w:rsidR="00286828" w:rsidRPr="008E0A7D" w:rsidRDefault="00286828" w:rsidP="00286828">
      <w:pPr>
        <w:ind w:firstLine="720"/>
        <w:jc w:val="both"/>
        <w:rPr>
          <w:lang w:val="sr-Cyrl-BA"/>
        </w:rPr>
      </w:pPr>
      <w:r w:rsidRPr="008E0A7D">
        <w:rPr>
          <w:lang w:val="sr-Latn-BA"/>
        </w:rPr>
        <w:t>ЈП</w:t>
      </w:r>
      <w:r>
        <w:rPr>
          <w:lang w:val="sr-Latn-BA"/>
        </w:rPr>
        <w:t xml:space="preserve"> „</w:t>
      </w:r>
      <w:r w:rsidRPr="008E0A7D">
        <w:rPr>
          <w:lang w:val="sr-Latn-BA"/>
        </w:rPr>
        <w:t>Дирекција за изградњу и развој града“</w:t>
      </w:r>
      <w:r>
        <w:rPr>
          <w:lang w:val="sr-Latn-BA"/>
        </w:rPr>
        <w:t xml:space="preserve"> </w:t>
      </w:r>
      <w:r>
        <w:rPr>
          <w:lang w:val="sr-Cyrl-BA"/>
        </w:rPr>
        <w:t>д.о.о.</w:t>
      </w:r>
      <w:r w:rsidRPr="008E0A7D">
        <w:rPr>
          <w:lang w:val="sr-Latn-BA"/>
        </w:rPr>
        <w:t xml:space="preserve"> – </w:t>
      </w:r>
      <w:r>
        <w:rPr>
          <w:lang w:val="sr-Cyrl-BA"/>
        </w:rPr>
        <w:t>Служба</w:t>
      </w:r>
      <w:r w:rsidRPr="008E0A7D">
        <w:rPr>
          <w:lang w:val="sr-Latn-BA"/>
        </w:rPr>
        <w:t xml:space="preserve"> за управљање јавним паркиралиштима преузела је управљање над јавним паркиралиштима и ставила у функцију </w:t>
      </w:r>
      <w:r w:rsidRPr="008E0A7D">
        <w:rPr>
          <w:lang w:val="sr-Cyrl-CS"/>
        </w:rPr>
        <w:t>постојећи систем н</w:t>
      </w:r>
      <w:r w:rsidRPr="008E0A7D">
        <w:rPr>
          <w:lang w:val="sr-Latn-BA"/>
        </w:rPr>
        <w:t>аплате и контроле паркирања у Бијељини 08.10.2007.</w:t>
      </w:r>
      <w:r w:rsidR="001773C0">
        <w:rPr>
          <w:lang w:val="sr-Cyrl-BA"/>
        </w:rPr>
        <w:t xml:space="preserve"> </w:t>
      </w:r>
      <w:r w:rsidRPr="008E0A7D">
        <w:rPr>
          <w:lang w:val="sr-Latn-BA"/>
        </w:rPr>
        <w:t xml:space="preserve">године, а све на основу Одлуке о паркирању у </w:t>
      </w:r>
      <w:r>
        <w:rPr>
          <w:lang w:val="sr-Cyrl-BA"/>
        </w:rPr>
        <w:t>Г</w:t>
      </w:r>
      <w:r w:rsidRPr="008E0A7D">
        <w:rPr>
          <w:lang w:val="sr-Latn-BA"/>
        </w:rPr>
        <w:t>раду Бијељина („Сл</w:t>
      </w:r>
      <w:r w:rsidR="001773C0">
        <w:rPr>
          <w:lang w:val="sr-Cyrl-BA"/>
        </w:rPr>
        <w:t>ужбени</w:t>
      </w:r>
      <w:r>
        <w:rPr>
          <w:lang w:val="sr-Cyrl-BA"/>
        </w:rPr>
        <w:t xml:space="preserve"> </w:t>
      </w:r>
      <w:r w:rsidRPr="008E0A7D">
        <w:rPr>
          <w:lang w:val="sr-Latn-BA"/>
        </w:rPr>
        <w:t>гл</w:t>
      </w:r>
      <w:r w:rsidR="001773C0">
        <w:rPr>
          <w:lang w:val="sr-Cyrl-BA"/>
        </w:rPr>
        <w:t>асник</w:t>
      </w:r>
      <w:r w:rsidRPr="008E0A7D">
        <w:rPr>
          <w:lang w:val="sr-Latn-BA"/>
        </w:rPr>
        <w:t xml:space="preserve"> општине Бијељина“ бр</w:t>
      </w:r>
      <w:r w:rsidR="001773C0">
        <w:rPr>
          <w:lang w:val="sr-Cyrl-BA"/>
        </w:rPr>
        <w:t>ој:</w:t>
      </w:r>
      <w:r>
        <w:rPr>
          <w:lang w:val="sr-Latn-BA"/>
        </w:rPr>
        <w:t xml:space="preserve"> 22/06, 2</w:t>
      </w:r>
      <w:r>
        <w:rPr>
          <w:lang w:val="bs-Cyrl-BA"/>
        </w:rPr>
        <w:t>3</w:t>
      </w:r>
      <w:r w:rsidRPr="008E0A7D">
        <w:rPr>
          <w:lang w:val="sr-Latn-BA"/>
        </w:rPr>
        <w:t>/07</w:t>
      </w:r>
      <w:r>
        <w:rPr>
          <w:lang w:val="bs-Cyrl-BA"/>
        </w:rPr>
        <w:t>, 3/11, 7/14</w:t>
      </w:r>
      <w:r w:rsidRPr="008E0A7D">
        <w:rPr>
          <w:lang w:val="sr-Latn-BA"/>
        </w:rPr>
        <w:t>), Споразума о додјели јавних паркиралишта на управљање и одржавање Дирекцији</w:t>
      </w:r>
      <w:r w:rsidR="001773C0">
        <w:rPr>
          <w:lang w:val="sr-Cyrl-BA"/>
        </w:rPr>
        <w:t xml:space="preserve"> (акт</w:t>
      </w:r>
      <w:r>
        <w:rPr>
          <w:lang w:val="bs-Cyrl-BA"/>
        </w:rPr>
        <w:t xml:space="preserve"> број</w:t>
      </w:r>
      <w:r w:rsidR="001773C0">
        <w:rPr>
          <w:lang w:val="bs-Cyrl-BA"/>
        </w:rPr>
        <w:t>:</w:t>
      </w:r>
      <w:r>
        <w:rPr>
          <w:lang w:val="bs-Cyrl-BA"/>
        </w:rPr>
        <w:t xml:space="preserve"> 02-370-605/06</w:t>
      </w:r>
      <w:r w:rsidRPr="008E0A7D">
        <w:rPr>
          <w:lang w:val="sr-Latn-BA"/>
        </w:rPr>
        <w:t xml:space="preserve"> </w:t>
      </w:r>
      <w:r w:rsidR="001773C0">
        <w:rPr>
          <w:lang w:val="sr-Cyrl-BA"/>
        </w:rPr>
        <w:t xml:space="preserve">од </w:t>
      </w:r>
      <w:r w:rsidRPr="008E0A7D">
        <w:rPr>
          <w:lang w:val="sr-Latn-BA"/>
        </w:rPr>
        <w:t>30.06.2006.год</w:t>
      </w:r>
      <w:r w:rsidR="001773C0">
        <w:rPr>
          <w:lang w:val="sr-Cyrl-BA"/>
        </w:rPr>
        <w:t xml:space="preserve">ине) </w:t>
      </w:r>
      <w:r w:rsidRPr="008E0A7D">
        <w:rPr>
          <w:lang w:val="sr-Latn-BA"/>
        </w:rPr>
        <w:t>Анекс</w:t>
      </w:r>
      <w:r w:rsidR="001773C0">
        <w:rPr>
          <w:lang w:val="sr-Cyrl-BA"/>
        </w:rPr>
        <w:t>а</w:t>
      </w:r>
      <w:r w:rsidRPr="008E0A7D">
        <w:rPr>
          <w:lang w:val="sr-Latn-BA"/>
        </w:rPr>
        <w:t xml:space="preserve"> Споразума </w:t>
      </w:r>
      <w:r>
        <w:rPr>
          <w:lang w:val="bs-Cyrl-BA"/>
        </w:rPr>
        <w:t>број</w:t>
      </w:r>
      <w:r w:rsidR="001773C0">
        <w:rPr>
          <w:lang w:val="bs-Cyrl-BA"/>
        </w:rPr>
        <w:t>:</w:t>
      </w:r>
      <w:r>
        <w:rPr>
          <w:lang w:val="bs-Cyrl-BA"/>
        </w:rPr>
        <w:t xml:space="preserve"> 02-370-605/06 </w:t>
      </w:r>
      <w:r w:rsidR="001773C0">
        <w:rPr>
          <w:lang w:val="sr-Cyrl-BA"/>
        </w:rPr>
        <w:t>од</w:t>
      </w:r>
      <w:r>
        <w:rPr>
          <w:lang w:val="sr-Latn-BA"/>
        </w:rPr>
        <w:t xml:space="preserve"> 20.12.2007.</w:t>
      </w:r>
      <w:r w:rsidRPr="008E0A7D">
        <w:rPr>
          <w:lang w:val="sr-Latn-BA"/>
        </w:rPr>
        <w:t>год</w:t>
      </w:r>
      <w:r w:rsidR="001773C0">
        <w:rPr>
          <w:lang w:val="sr-Cyrl-BA"/>
        </w:rPr>
        <w:t>ине</w:t>
      </w:r>
      <w:r>
        <w:rPr>
          <w:lang w:val="bs-Cyrl-BA"/>
        </w:rPr>
        <w:t xml:space="preserve"> </w:t>
      </w:r>
      <w:r w:rsidRPr="008E0A7D">
        <w:rPr>
          <w:lang w:val="sr-Latn-BA"/>
        </w:rPr>
        <w:t xml:space="preserve">и Споразума </w:t>
      </w:r>
      <w:r w:rsidRPr="008E0A7D">
        <w:rPr>
          <w:lang w:val="sr-Cyrl-BA"/>
        </w:rPr>
        <w:t>о повјеравању послова управљања јавним паркиралиштима</w:t>
      </w:r>
      <w:r w:rsidR="001773C0">
        <w:rPr>
          <w:lang w:val="sr-Cyrl-BA"/>
        </w:rPr>
        <w:t xml:space="preserve"> (акт</w:t>
      </w:r>
      <w:r>
        <w:rPr>
          <w:lang w:val="sr-Cyrl-BA"/>
        </w:rPr>
        <w:t xml:space="preserve"> број 02-370-79/08</w:t>
      </w:r>
      <w:r w:rsidRPr="008E0A7D">
        <w:rPr>
          <w:lang w:val="sr-Cyrl-BA"/>
        </w:rPr>
        <w:t xml:space="preserve"> који је закључен 31.01.2008.</w:t>
      </w:r>
      <w:r>
        <w:rPr>
          <w:lang w:val="sr-Cyrl-BA"/>
        </w:rPr>
        <w:t xml:space="preserve"> </w:t>
      </w:r>
      <w:r w:rsidRPr="008E0A7D">
        <w:rPr>
          <w:lang w:val="sr-Cyrl-BA"/>
        </w:rPr>
        <w:t>године</w:t>
      </w:r>
      <w:r w:rsidR="001773C0">
        <w:rPr>
          <w:lang w:val="sr-Cyrl-BA"/>
        </w:rPr>
        <w:t>)</w:t>
      </w:r>
      <w:r w:rsidRPr="008E0A7D">
        <w:rPr>
          <w:lang w:val="sr-Cyrl-BA"/>
        </w:rPr>
        <w:t>.</w:t>
      </w:r>
    </w:p>
    <w:p w:rsidR="00286828" w:rsidRPr="008E0A7D" w:rsidRDefault="00286828" w:rsidP="00286828">
      <w:pPr>
        <w:jc w:val="both"/>
        <w:rPr>
          <w:lang w:val="sr-Cyrl-BA"/>
        </w:rPr>
      </w:pPr>
    </w:p>
    <w:p w:rsidR="00286828" w:rsidRPr="008E0A7D" w:rsidRDefault="00286828" w:rsidP="00286828">
      <w:pPr>
        <w:ind w:firstLine="720"/>
        <w:jc w:val="both"/>
        <w:rPr>
          <w:b/>
          <w:lang w:val="sr-Cyrl-BA"/>
        </w:rPr>
      </w:pPr>
      <w:r w:rsidRPr="008E0A7D">
        <w:rPr>
          <w:lang w:val="sr-Cyrl-CS"/>
        </w:rPr>
        <w:t xml:space="preserve"> </w:t>
      </w:r>
      <w:r w:rsidRPr="008E0A7D">
        <w:rPr>
          <w:b/>
          <w:lang w:val="sr-Cyrl-BA"/>
        </w:rPr>
        <w:t>Функционисање система управљања и наплате паркирања</w:t>
      </w:r>
    </w:p>
    <w:p w:rsidR="00286828" w:rsidRPr="008E0A7D" w:rsidRDefault="00286828" w:rsidP="00286828">
      <w:pPr>
        <w:ind w:firstLine="720"/>
        <w:jc w:val="both"/>
        <w:rPr>
          <w:lang w:val="sr-Cyrl-BA"/>
        </w:rPr>
      </w:pPr>
    </w:p>
    <w:p w:rsidR="00286828" w:rsidRPr="00031757" w:rsidRDefault="00286828" w:rsidP="00286828">
      <w:pPr>
        <w:jc w:val="both"/>
        <w:rPr>
          <w:lang w:val="hr-HR"/>
        </w:rPr>
      </w:pPr>
      <w:r w:rsidRPr="00031757">
        <w:rPr>
          <w:lang w:val="hr-HR"/>
        </w:rPr>
        <w:tab/>
      </w:r>
      <w:r w:rsidRPr="00031757">
        <w:rPr>
          <w:lang w:val="sr-Cyrl-CS"/>
        </w:rPr>
        <w:t>Као и предходних година, тако и у 201</w:t>
      </w:r>
      <w:r>
        <w:rPr>
          <w:lang w:val="bs-Cyrl-BA"/>
        </w:rPr>
        <w:t>8</w:t>
      </w:r>
      <w:r w:rsidRPr="00031757">
        <w:rPr>
          <w:lang w:val="sr-Cyrl-CS"/>
        </w:rPr>
        <w:t>.</w:t>
      </w:r>
      <w:r>
        <w:rPr>
          <w:lang w:val="sr-Cyrl-BA"/>
        </w:rPr>
        <w:t xml:space="preserve"> </w:t>
      </w:r>
      <w:r w:rsidRPr="00031757">
        <w:rPr>
          <w:lang w:val="sr-Cyrl-CS"/>
        </w:rPr>
        <w:t>години није дошло до знатне промјене укупног броја паркинг мјеста, тако да се с</w:t>
      </w:r>
      <w:r w:rsidRPr="00031757">
        <w:rPr>
          <w:lang w:val="hr-HR"/>
        </w:rPr>
        <w:t xml:space="preserve">истем наплате и контроле паркирања </w:t>
      </w:r>
      <w:r w:rsidRPr="00031757">
        <w:rPr>
          <w:lang w:val="sr-Cyrl-CS"/>
        </w:rPr>
        <w:t xml:space="preserve">и даље </w:t>
      </w:r>
      <w:r w:rsidRPr="00031757">
        <w:rPr>
          <w:lang w:val="hr-HR"/>
        </w:rPr>
        <w:t>спроводи на око 8</w:t>
      </w:r>
      <w:r w:rsidRPr="00031757">
        <w:rPr>
          <w:lang w:val="sr-Cyrl-CS"/>
        </w:rPr>
        <w:t>5</w:t>
      </w:r>
      <w:r>
        <w:rPr>
          <w:lang w:val="hr-HR"/>
        </w:rPr>
        <w:t>5</w:t>
      </w:r>
      <w:r w:rsidRPr="00031757">
        <w:rPr>
          <w:lang w:val="hr-HR"/>
        </w:rPr>
        <w:t xml:space="preserve"> уређених и прописно обиљежених паркинг мјеста. </w:t>
      </w:r>
    </w:p>
    <w:p w:rsidR="00286828" w:rsidRPr="008E0A7D" w:rsidRDefault="00286828" w:rsidP="00286828">
      <w:pPr>
        <w:jc w:val="both"/>
        <w:rPr>
          <w:lang w:val="sr-Cyrl-BA"/>
        </w:rPr>
      </w:pPr>
      <w:r w:rsidRPr="008E0A7D">
        <w:rPr>
          <w:lang w:val="hr-HR"/>
        </w:rPr>
        <w:tab/>
      </w:r>
      <w:r w:rsidRPr="008E0A7D">
        <w:rPr>
          <w:lang w:val="ru-RU"/>
        </w:rPr>
        <w:t>Град је подијељен у двије зоне (црвену зону и плаву зону) и у обје зоне примјењује се режим без</w:t>
      </w:r>
      <w:r w:rsidR="00F457E8">
        <w:rPr>
          <w:lang w:val="ru-RU"/>
        </w:rPr>
        <w:t xml:space="preserve"> </w:t>
      </w:r>
      <w:r w:rsidRPr="008E0A7D">
        <w:rPr>
          <w:lang w:val="ru-RU"/>
        </w:rPr>
        <w:t>временског ограничења</w:t>
      </w:r>
      <w:r w:rsidR="00F457E8">
        <w:rPr>
          <w:lang w:val="ru-RU"/>
        </w:rPr>
        <w:t>,</w:t>
      </w:r>
      <w:r w:rsidRPr="008E0A7D">
        <w:rPr>
          <w:lang w:val="ru-RU"/>
        </w:rPr>
        <w:t xml:space="preserve"> са наплатом паркирања у периоду од 7-21 час  радним даном, и 7-15 часова суботом.</w:t>
      </w:r>
    </w:p>
    <w:p w:rsidR="00286828" w:rsidRPr="008E0A7D" w:rsidRDefault="00286828" w:rsidP="00286828">
      <w:pPr>
        <w:jc w:val="both"/>
        <w:rPr>
          <w:lang w:val="sr-Cyrl-BA"/>
        </w:rPr>
      </w:pPr>
    </w:p>
    <w:p w:rsidR="00286828" w:rsidRPr="008E0A7D" w:rsidRDefault="00286828" w:rsidP="00286828">
      <w:pPr>
        <w:jc w:val="center"/>
      </w:pPr>
      <w:r>
        <w:rPr>
          <w:noProof/>
          <w:lang w:val="en-US"/>
        </w:rPr>
        <w:drawing>
          <wp:inline distT="0" distB="0" distL="0" distR="0">
            <wp:extent cx="2943225" cy="2362200"/>
            <wp:effectExtent l="19050" t="0" r="9525" b="0"/>
            <wp:docPr id="1" name="Picture 1" descr="http://www.sobijeljina.org/sajt/doc/Image/parkingbn/Z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bijeljina.org/sajt/doc/Image/parkingbn/Zone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828" w:rsidRPr="008E0A7D" w:rsidRDefault="00286828" w:rsidP="00286828">
      <w:pPr>
        <w:jc w:val="center"/>
        <w:rPr>
          <w:lang w:val="sr-Cyrl-BA"/>
        </w:rPr>
      </w:pPr>
    </w:p>
    <w:p w:rsidR="00286828" w:rsidRPr="008E0A7D" w:rsidRDefault="00286828" w:rsidP="00EE0A59">
      <w:pPr>
        <w:ind w:firstLine="720"/>
        <w:jc w:val="both"/>
        <w:rPr>
          <w:lang w:val="sr-Cyrl-BA"/>
        </w:rPr>
      </w:pPr>
      <w:r w:rsidRPr="008E0A7D">
        <w:rPr>
          <w:lang w:val="ru-RU"/>
        </w:rPr>
        <w:t>Увођење наплате, по сату паркирања, на паркинг мјестима намјењеним за јавно коришћење у граду, има за задатак да се, поред регулативних ефеката, на ограниченом броју јавних мјеста за паркирање оствари потребан број паркирања. Цијеном паркирања управља се бројем захт</w:t>
      </w:r>
      <w:r w:rsidR="00F457E8">
        <w:rPr>
          <w:lang w:val="ru-RU"/>
        </w:rPr>
        <w:t>ј</w:t>
      </w:r>
      <w:r w:rsidRPr="008E0A7D">
        <w:rPr>
          <w:lang w:val="ru-RU"/>
        </w:rPr>
        <w:t>ева за паркирањем, просторном распод</w:t>
      </w:r>
      <w:r w:rsidR="00F457E8">
        <w:rPr>
          <w:lang w:val="ru-RU"/>
        </w:rPr>
        <w:t>ј</w:t>
      </w:r>
      <w:r w:rsidRPr="008E0A7D">
        <w:rPr>
          <w:lang w:val="ru-RU"/>
        </w:rPr>
        <w:t>елом захт</w:t>
      </w:r>
      <w:r w:rsidR="00F457E8">
        <w:rPr>
          <w:lang w:val="ru-RU"/>
        </w:rPr>
        <w:t>ј</w:t>
      </w:r>
      <w:r w:rsidRPr="008E0A7D">
        <w:rPr>
          <w:lang w:val="ru-RU"/>
        </w:rPr>
        <w:t>ева и искоришћењем расположивог капацитета на улици и посебним паркиралиштима.</w:t>
      </w:r>
    </w:p>
    <w:p w:rsidR="00286828" w:rsidRPr="008E0A7D" w:rsidRDefault="00286828" w:rsidP="00286828">
      <w:pPr>
        <w:jc w:val="both"/>
        <w:rPr>
          <w:lang w:val="sr-Cyrl-BA"/>
        </w:rPr>
      </w:pPr>
    </w:p>
    <w:p w:rsidR="00286828" w:rsidRPr="008E0A7D" w:rsidRDefault="00286828" w:rsidP="00286828">
      <w:pPr>
        <w:jc w:val="both"/>
        <w:rPr>
          <w:lang w:val="sr-Cyrl-BA"/>
        </w:rPr>
      </w:pPr>
      <w:r w:rsidRPr="008E0A7D">
        <w:rPr>
          <w:lang w:val="ru-RU"/>
        </w:rPr>
        <w:tab/>
        <w:t>У Бијељини се прим</w:t>
      </w:r>
      <w:r w:rsidR="00F457E8">
        <w:rPr>
          <w:lang w:val="ru-RU"/>
        </w:rPr>
        <w:t>ј</w:t>
      </w:r>
      <w:r w:rsidRPr="008E0A7D">
        <w:rPr>
          <w:lang w:val="ru-RU"/>
        </w:rPr>
        <w:t>ењује режим без</w:t>
      </w:r>
      <w:r w:rsidR="00F457E8">
        <w:rPr>
          <w:lang w:val="ru-RU"/>
        </w:rPr>
        <w:t xml:space="preserve"> </w:t>
      </w:r>
      <w:r w:rsidRPr="008E0A7D">
        <w:rPr>
          <w:lang w:val="ru-RU"/>
        </w:rPr>
        <w:t>временског ограничења</w:t>
      </w:r>
      <w:r w:rsidR="00F457E8">
        <w:rPr>
          <w:lang w:val="ru-RU"/>
        </w:rPr>
        <w:t xml:space="preserve"> паркирања,</w:t>
      </w:r>
      <w:r w:rsidRPr="008E0A7D">
        <w:rPr>
          <w:lang w:val="ru-RU"/>
        </w:rPr>
        <w:t xml:space="preserve"> са наплатом, па се сходно томе прим</w:t>
      </w:r>
      <w:r w:rsidR="00F457E8">
        <w:rPr>
          <w:lang w:val="ru-RU"/>
        </w:rPr>
        <w:t>ј</w:t>
      </w:r>
      <w:r w:rsidRPr="008E0A7D">
        <w:rPr>
          <w:lang w:val="ru-RU"/>
        </w:rPr>
        <w:t>ењује линеарна цијена (јединствена цијена за временску јединицу паркирања, без обзира на дужину задржавања на паркинг мјесту).</w:t>
      </w:r>
    </w:p>
    <w:p w:rsidR="00286828" w:rsidRPr="008E0A7D" w:rsidRDefault="00286828" w:rsidP="00286828">
      <w:pPr>
        <w:jc w:val="both"/>
        <w:rPr>
          <w:lang w:val="sr-Cyrl-BA"/>
        </w:rPr>
      </w:pPr>
    </w:p>
    <w:p w:rsidR="00286828" w:rsidRPr="00286828" w:rsidRDefault="00286828" w:rsidP="00286828">
      <w:pPr>
        <w:jc w:val="both"/>
        <w:rPr>
          <w:lang w:val="sr-Cyrl-BA"/>
        </w:rPr>
      </w:pPr>
      <w:r w:rsidRPr="008E0A7D">
        <w:rPr>
          <w:lang w:val="ru-RU"/>
        </w:rPr>
        <w:tab/>
        <w:t>Цијена започетог</w:t>
      </w:r>
      <w:r>
        <w:rPr>
          <w:lang w:val="sr-Latn-BA"/>
        </w:rPr>
        <w:t xml:space="preserve"> </w:t>
      </w:r>
      <w:r w:rsidRPr="008E0A7D">
        <w:rPr>
          <w:lang w:val="ru-RU"/>
        </w:rPr>
        <w:t>сата у црвеној зони</w:t>
      </w:r>
      <w:r>
        <w:rPr>
          <w:lang w:val="sr-Latn-BA"/>
        </w:rPr>
        <w:t xml:space="preserve"> </w:t>
      </w:r>
      <w:r>
        <w:rPr>
          <w:lang w:val="sr-Cyrl-BA"/>
        </w:rPr>
        <w:t xml:space="preserve"> </w:t>
      </w:r>
      <w:r w:rsidRPr="008E0A7D">
        <w:rPr>
          <w:lang w:val="ru-RU"/>
        </w:rPr>
        <w:t>износи</w:t>
      </w:r>
      <w:r>
        <w:rPr>
          <w:lang w:val="ru-RU"/>
        </w:rPr>
        <w:t xml:space="preserve">  </w:t>
      </w:r>
      <w:r>
        <w:rPr>
          <w:lang w:val="sr-Latn-BA"/>
        </w:rPr>
        <w:t>1.00</w:t>
      </w:r>
      <w:r w:rsidRPr="008E0A7D">
        <w:rPr>
          <w:lang w:val="ru-RU"/>
        </w:rPr>
        <w:t xml:space="preserve"> КМ </w:t>
      </w:r>
      <w:r>
        <w:rPr>
          <w:lang w:val="ru-RU"/>
        </w:rPr>
        <w:t xml:space="preserve"> </w:t>
      </w:r>
      <w:r w:rsidRPr="008E0A7D">
        <w:rPr>
          <w:lang w:val="ru-RU"/>
        </w:rPr>
        <w:t xml:space="preserve">а у плавој </w:t>
      </w:r>
      <w:r>
        <w:rPr>
          <w:lang w:val="ru-RU"/>
        </w:rPr>
        <w:t xml:space="preserve"> </w:t>
      </w:r>
      <w:r w:rsidRPr="008E0A7D">
        <w:rPr>
          <w:lang w:val="ru-RU"/>
        </w:rPr>
        <w:t>зони</w:t>
      </w:r>
      <w:r>
        <w:rPr>
          <w:lang w:val="ru-RU"/>
        </w:rPr>
        <w:t xml:space="preserve">   0.</w:t>
      </w:r>
      <w:r>
        <w:rPr>
          <w:lang w:val="sr-Latn-BA"/>
        </w:rPr>
        <w:t>50</w:t>
      </w:r>
      <w:r w:rsidRPr="008E0A7D">
        <w:rPr>
          <w:lang w:val="ru-RU"/>
        </w:rPr>
        <w:t xml:space="preserve"> КМ.</w:t>
      </w:r>
      <w:r>
        <w:rPr>
          <w:lang w:val="ru-RU"/>
        </w:rPr>
        <w:t xml:space="preserve"> </w:t>
      </w:r>
      <w:r w:rsidRPr="008E0A7D">
        <w:rPr>
          <w:lang w:val="ru-RU"/>
        </w:rPr>
        <w:t xml:space="preserve">У плавој зони постоји могућност куповине дневне карте чија је цијена 2.00 КМ. Постоји могућност куповине мјесечне карте чија цијена за обје зоне износи (универзална) 60.00 КМ, а само за плаву зону 40.00 КМ. </w:t>
      </w:r>
      <w:r w:rsidRPr="008E0A7D">
        <w:t>Резервисано паркинг мјесто за мјесец дана износи 200.00 КМ.</w:t>
      </w:r>
    </w:p>
    <w:p w:rsidR="00286828" w:rsidRPr="008E0A7D" w:rsidRDefault="00286828" w:rsidP="00286828">
      <w:pPr>
        <w:jc w:val="both"/>
      </w:pPr>
    </w:p>
    <w:p w:rsidR="00286828" w:rsidRDefault="00003DE3" w:rsidP="00286828">
      <w:pPr>
        <w:jc w:val="center"/>
      </w:pPr>
      <w:r w:rsidRPr="00EB6D18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1.15pt;margin-top:67.35pt;width:85.5pt;height:20.25pt;z-index:251660288;mso-width-relative:margin;mso-height-relative:margin" stroked="f">
            <v:textbox style="mso-next-textbox:#_x0000_s1028" inset="0,0,0,0">
              <w:txbxContent>
                <w:p w:rsidR="00003DE3" w:rsidRPr="00003DE3" w:rsidRDefault="00003DE3" w:rsidP="00003DE3">
                  <w:pPr>
                    <w:rPr>
                      <w:sz w:val="28"/>
                      <w:szCs w:val="28"/>
                      <w:lang w:val="sr-Cyrl-BA"/>
                    </w:rPr>
                  </w:pPr>
                  <w:r>
                    <w:rPr>
                      <w:sz w:val="28"/>
                      <w:szCs w:val="28"/>
                      <w:lang w:val="sr-Cyrl-BA"/>
                    </w:rPr>
                    <w:t xml:space="preserve"> 1 </w:t>
                  </w:r>
                  <w:r w:rsidRPr="004D265D">
                    <w:rPr>
                      <w:lang w:val="sr-Cyrl-BA"/>
                    </w:rPr>
                    <w:t>ЧАС</w:t>
                  </w:r>
                  <w:r>
                    <w:rPr>
                      <w:sz w:val="28"/>
                      <w:szCs w:val="28"/>
                      <w:lang w:val="sr-Cyrl-BA"/>
                    </w:rPr>
                    <w:t xml:space="preserve"> </w:t>
                  </w:r>
                  <w:r w:rsidRPr="00003DE3">
                    <w:rPr>
                      <w:lang w:val="sr-Cyrl-BA"/>
                    </w:rPr>
                    <w:t>1,00</w:t>
                  </w:r>
                  <w:r w:rsidR="004D265D">
                    <w:rPr>
                      <w:lang w:val="sr-Cyrl-BA"/>
                    </w:rPr>
                    <w:t>КМ</w:t>
                  </w:r>
                </w:p>
              </w:txbxContent>
            </v:textbox>
          </v:shape>
        </w:pict>
      </w:r>
      <w:r>
        <w:rPr>
          <w:noProof/>
          <w:lang w:val="en-US"/>
        </w:rPr>
        <w:drawing>
          <wp:inline distT="0" distB="0" distL="0" distR="0">
            <wp:extent cx="1143000" cy="1123950"/>
            <wp:effectExtent l="19050" t="0" r="0" b="0"/>
            <wp:docPr id="6" name="Picture 2" descr="http://www.sobijeljina.org/sajt/doc/Image/parkingbn/Zona1Cij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obijeljina.org/sajt/doc/Image/parkingbn/Zona1Cijena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clrChange>
                        <a:clrFrom>
                          <a:srgbClr val="F6F7F2"/>
                        </a:clrFrom>
                        <a:clrTo>
                          <a:srgbClr val="F6F7F2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6D18" w:rsidRPr="00EB6D18">
        <w:rPr>
          <w:noProof/>
        </w:rPr>
        <w:pict>
          <v:shape id="_x0000_s1029" type="#_x0000_t202" style="position:absolute;left:0;text-align:left;margin-left:182.5pt;margin-top:63.6pt;width:89.5pt;height:24pt;z-index:251661312;mso-position-horizontal-relative:text;mso-position-vertical-relative:text">
            <v:textbox style="mso-next-textbox:#_x0000_s1029">
              <w:txbxContent>
                <w:p w:rsidR="00003DE3" w:rsidRPr="004B65AF" w:rsidRDefault="00003DE3" w:rsidP="00286828">
                  <w:pPr>
                    <w:rPr>
                      <w:lang w:val="sr-Cyrl-BA"/>
                    </w:rPr>
                  </w:pPr>
                  <w:r>
                    <w:rPr>
                      <w:lang w:val="sr-Cyrl-BA"/>
                    </w:rPr>
                    <w:t>1ЧАС 0,50КМ</w:t>
                  </w:r>
                </w:p>
              </w:txbxContent>
            </v:textbox>
          </v:shape>
        </w:pict>
      </w:r>
      <w:r w:rsidR="00286828">
        <w:rPr>
          <w:noProof/>
          <w:lang w:val="en-US"/>
        </w:rPr>
        <w:drawing>
          <wp:inline distT="0" distB="0" distL="0" distR="0">
            <wp:extent cx="1143000" cy="1123950"/>
            <wp:effectExtent l="19050" t="0" r="0" b="0"/>
            <wp:docPr id="3" name="Picture 3" descr="http://www.sobijeljina.org/sajt/doc/Image/parkingbn/Zona2Cij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obijeljina.org/sajt/doc/Image/parkingbn/Zona2Cijena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6828">
        <w:rPr>
          <w:noProof/>
          <w:lang w:val="en-US"/>
        </w:rPr>
        <w:drawing>
          <wp:inline distT="0" distB="0" distL="0" distR="0">
            <wp:extent cx="1143000" cy="1123950"/>
            <wp:effectExtent l="19050" t="0" r="0" b="0"/>
            <wp:docPr id="4" name="Picture 4" descr="http://www.sobijeljina.org/sajt/doc/Image/parkingbn/Zona3Cij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obijeljina.org/sajt/doc/Image/parkingbn/Zona3Cijena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828" w:rsidRDefault="00286828" w:rsidP="00286828">
      <w:pPr>
        <w:jc w:val="center"/>
      </w:pPr>
    </w:p>
    <w:p w:rsidR="00286828" w:rsidRDefault="00286828" w:rsidP="00286828">
      <w:pPr>
        <w:jc w:val="center"/>
        <w:rPr>
          <w:lang w:val="sr-Cyrl-BA"/>
        </w:rPr>
      </w:pPr>
    </w:p>
    <w:p w:rsidR="00451D43" w:rsidRPr="00286828" w:rsidRDefault="00451D43" w:rsidP="00286828">
      <w:pPr>
        <w:jc w:val="center"/>
        <w:rPr>
          <w:lang w:val="sr-Cyrl-BA"/>
        </w:rPr>
      </w:pPr>
    </w:p>
    <w:p w:rsidR="00286828" w:rsidRDefault="00286828" w:rsidP="00286828">
      <w:pPr>
        <w:jc w:val="both"/>
        <w:rPr>
          <w:lang w:val="ru-RU"/>
        </w:rPr>
      </w:pPr>
      <w:r w:rsidRPr="008E0A7D">
        <w:tab/>
      </w:r>
      <w:r w:rsidRPr="008E0A7D">
        <w:rPr>
          <w:lang w:val="ru-RU"/>
        </w:rPr>
        <w:t xml:space="preserve">Станари у </w:t>
      </w:r>
      <w:r>
        <w:rPr>
          <w:lang w:val="ru-RU"/>
        </w:rPr>
        <w:t>зони у којој се врши наплата паркирања</w:t>
      </w:r>
      <w:r w:rsidRPr="008E0A7D">
        <w:rPr>
          <w:lang w:val="ru-RU"/>
        </w:rPr>
        <w:t xml:space="preserve"> имају право на повлашћене паркинг карте по цијени од 10 КМ мјесечно. Услов за добијење повлашћене паркинг карте испуњавају станари који имају адресу пребивалишта у зони у којој се врши наплата паркирања и доказ о власништву возила</w:t>
      </w:r>
      <w:r>
        <w:rPr>
          <w:lang w:val="ru-RU"/>
        </w:rPr>
        <w:t>, а немају других простора за паркирање.</w:t>
      </w:r>
    </w:p>
    <w:p w:rsidR="00286828" w:rsidRPr="008E0A7D" w:rsidRDefault="00286828" w:rsidP="00286828">
      <w:pPr>
        <w:jc w:val="both"/>
        <w:rPr>
          <w:lang w:val="ru-RU"/>
        </w:rPr>
      </w:pPr>
    </w:p>
    <w:p w:rsidR="00286828" w:rsidRPr="008E0A7D" w:rsidRDefault="00286828" w:rsidP="00286828">
      <w:pPr>
        <w:jc w:val="both"/>
        <w:rPr>
          <w:lang w:val="ru-RU"/>
        </w:rPr>
      </w:pPr>
      <w:r w:rsidRPr="008E0A7D">
        <w:rPr>
          <w:lang w:val="ru-RU"/>
        </w:rPr>
        <w:tab/>
        <w:t>Приликом наплате паркирања, понуђена су два система наплате паркирања:</w:t>
      </w:r>
    </w:p>
    <w:p w:rsidR="00286828" w:rsidRPr="008E0A7D" w:rsidRDefault="00286828" w:rsidP="00286828">
      <w:pPr>
        <w:numPr>
          <w:ilvl w:val="0"/>
          <w:numId w:val="34"/>
        </w:numPr>
        <w:jc w:val="both"/>
      </w:pPr>
      <w:r w:rsidRPr="008E0A7D">
        <w:t>наплата путем киоск карата</w:t>
      </w:r>
    </w:p>
    <w:p w:rsidR="00286828" w:rsidRPr="00A06958" w:rsidRDefault="00286828" w:rsidP="00286828">
      <w:pPr>
        <w:numPr>
          <w:ilvl w:val="0"/>
          <w:numId w:val="34"/>
        </w:numPr>
        <w:jc w:val="both"/>
      </w:pPr>
      <w:r w:rsidRPr="008E0A7D">
        <w:t>наплата путем СМС-а</w:t>
      </w:r>
    </w:p>
    <w:p w:rsidR="00286828" w:rsidRPr="008E0A7D" w:rsidRDefault="00286828" w:rsidP="00286828">
      <w:pPr>
        <w:ind w:left="1065"/>
        <w:jc w:val="both"/>
      </w:pPr>
    </w:p>
    <w:p w:rsidR="00286828" w:rsidRPr="008E0A7D" w:rsidRDefault="00286828" w:rsidP="00EE0A59">
      <w:pPr>
        <w:ind w:firstLine="705"/>
        <w:jc w:val="both"/>
        <w:rPr>
          <w:lang w:val="hr-HR"/>
        </w:rPr>
      </w:pPr>
      <w:r w:rsidRPr="008E0A7D">
        <w:rPr>
          <w:lang w:val="ru-RU"/>
        </w:rPr>
        <w:t>Сваки од наведених начина наплате се прим</w:t>
      </w:r>
      <w:r w:rsidR="00F457E8">
        <w:rPr>
          <w:lang w:val="ru-RU"/>
        </w:rPr>
        <w:t>ј</w:t>
      </w:r>
      <w:r w:rsidRPr="008E0A7D">
        <w:rPr>
          <w:lang w:val="ru-RU"/>
        </w:rPr>
        <w:t>ењује по одређеним правилима, која су лако прихватљива од стране корисника.</w:t>
      </w:r>
    </w:p>
    <w:p w:rsidR="00286828" w:rsidRDefault="00286828" w:rsidP="00286828">
      <w:pPr>
        <w:ind w:firstLine="720"/>
        <w:jc w:val="both"/>
        <w:rPr>
          <w:lang w:val="hr-HR"/>
        </w:rPr>
      </w:pPr>
      <w:r w:rsidRPr="008E0A7D">
        <w:rPr>
          <w:lang w:val="hr-HR"/>
        </w:rPr>
        <w:t xml:space="preserve">Увођење овог </w:t>
      </w:r>
      <w:r w:rsidR="00F457E8">
        <w:rPr>
          <w:lang w:val="sr-Cyrl-BA"/>
        </w:rPr>
        <w:t>с</w:t>
      </w:r>
      <w:r w:rsidRPr="008E0A7D">
        <w:rPr>
          <w:lang w:val="hr-HR"/>
        </w:rPr>
        <w:t>истема прати коришћење савремених техничких рјешења: плаћање паркинга путем СМС-а, контрола паркирања ПДА уређајима (мали рачунари које носе контролори), ГПРС веза између ПДА уређаја и централног система, интернет веза система за контролу рада (</w:t>
      </w:r>
      <w:r>
        <w:rPr>
          <w:lang w:val="sr-Cyrl-BA"/>
        </w:rPr>
        <w:t>Служба</w:t>
      </w:r>
      <w:r w:rsidRPr="008E0A7D">
        <w:rPr>
          <w:lang w:val="hr-HR"/>
        </w:rPr>
        <w:t xml:space="preserve"> за јавна паркиралишта) са централним сервером и мобилним оператером итд.</w:t>
      </w:r>
    </w:p>
    <w:p w:rsidR="00286828" w:rsidRPr="00286828" w:rsidRDefault="00286828" w:rsidP="00286828">
      <w:pPr>
        <w:jc w:val="both"/>
        <w:rPr>
          <w:color w:val="FF0000"/>
          <w:lang w:val="sr-Cyrl-BA"/>
        </w:rPr>
      </w:pPr>
    </w:p>
    <w:p w:rsidR="00286828" w:rsidRPr="008E0A7D" w:rsidRDefault="00286828" w:rsidP="00286828">
      <w:pPr>
        <w:jc w:val="both"/>
        <w:rPr>
          <w:b/>
          <w:lang w:val="hr-HR"/>
        </w:rPr>
      </w:pPr>
      <w:r w:rsidRPr="008E0A7D">
        <w:rPr>
          <w:b/>
          <w:lang w:val="hr-HR"/>
        </w:rPr>
        <w:t>Организација рада и начин наплате паркирања са финансијским ефектима</w:t>
      </w:r>
    </w:p>
    <w:p w:rsidR="00286828" w:rsidRPr="008E0A7D" w:rsidRDefault="00286828" w:rsidP="00286828">
      <w:pPr>
        <w:jc w:val="both"/>
        <w:rPr>
          <w:b/>
          <w:lang w:val="hr-HR"/>
        </w:rPr>
      </w:pPr>
    </w:p>
    <w:p w:rsidR="00286828" w:rsidRPr="008E0A7D" w:rsidRDefault="00286828" w:rsidP="00286828">
      <w:pPr>
        <w:ind w:firstLine="720"/>
        <w:jc w:val="both"/>
        <w:rPr>
          <w:lang w:val="hr-HR"/>
        </w:rPr>
      </w:pPr>
      <w:r w:rsidRPr="008E0A7D">
        <w:rPr>
          <w:lang w:val="hr-HR"/>
        </w:rPr>
        <w:t xml:space="preserve">Послови контроле возила обављају се на </w:t>
      </w:r>
      <w:r>
        <w:rPr>
          <w:lang w:val="sr-Cyrl-BA"/>
        </w:rPr>
        <w:t>седам</w:t>
      </w:r>
      <w:r w:rsidRPr="008E0A7D">
        <w:rPr>
          <w:lang w:val="hr-HR"/>
        </w:rPr>
        <w:t xml:space="preserve"> сектора од стране  Предузећа за запошљавање инвалид</w:t>
      </w:r>
      <w:r w:rsidR="00F457E8">
        <w:rPr>
          <w:lang w:val="sr-Cyrl-BA"/>
        </w:rPr>
        <w:t>них лица</w:t>
      </w:r>
      <w:r w:rsidRPr="008E0A7D">
        <w:rPr>
          <w:lang w:val="hr-HR"/>
        </w:rPr>
        <w:t xml:space="preserve"> „Патриот“</w:t>
      </w:r>
      <w:r>
        <w:rPr>
          <w:lang w:val="bs-Cyrl-BA"/>
        </w:rPr>
        <w:t xml:space="preserve"> д</w:t>
      </w:r>
      <w:r w:rsidR="00F457E8">
        <w:rPr>
          <w:lang w:val="bs-Cyrl-BA"/>
        </w:rPr>
        <w:t>.</w:t>
      </w:r>
      <w:r>
        <w:rPr>
          <w:lang w:val="bs-Cyrl-BA"/>
        </w:rPr>
        <w:t>о</w:t>
      </w:r>
      <w:r w:rsidR="00F457E8">
        <w:rPr>
          <w:lang w:val="bs-Cyrl-BA"/>
        </w:rPr>
        <w:t>.</w:t>
      </w:r>
      <w:r>
        <w:rPr>
          <w:lang w:val="bs-Cyrl-BA"/>
        </w:rPr>
        <w:t>о</w:t>
      </w:r>
      <w:r w:rsidR="00F457E8">
        <w:rPr>
          <w:lang w:val="bs-Cyrl-BA"/>
        </w:rPr>
        <w:t>.</w:t>
      </w:r>
      <w:r w:rsidRPr="008E0A7D">
        <w:rPr>
          <w:lang w:val="hr-HR"/>
        </w:rPr>
        <w:t xml:space="preserve"> из Бијељине, које је у спроведеном поступку јавне набавке од стране Дирекције добило посао као подизвођач за послове контроле паркирања. </w:t>
      </w:r>
    </w:p>
    <w:p w:rsidR="00286828" w:rsidRPr="008E0A7D" w:rsidRDefault="00286828" w:rsidP="00286828">
      <w:pPr>
        <w:ind w:firstLine="720"/>
        <w:jc w:val="both"/>
        <w:rPr>
          <w:lang w:val="sr-Cyrl-CS"/>
        </w:rPr>
      </w:pPr>
    </w:p>
    <w:p w:rsidR="00286828" w:rsidRPr="008E0A7D" w:rsidRDefault="00286828" w:rsidP="00286828">
      <w:pPr>
        <w:jc w:val="both"/>
        <w:rPr>
          <w:lang w:val="sr-Cyrl-BA"/>
        </w:rPr>
      </w:pPr>
      <w:r w:rsidRPr="008E0A7D">
        <w:rPr>
          <w:lang w:val="hr-HR"/>
        </w:rPr>
        <w:t xml:space="preserve"> </w:t>
      </w:r>
      <w:r w:rsidRPr="008E0A7D">
        <w:rPr>
          <w:lang w:val="hr-HR"/>
        </w:rPr>
        <w:tab/>
      </w:r>
      <w:r w:rsidRPr="008E0A7D">
        <w:rPr>
          <w:lang w:val="sr-Cyrl-CS"/>
        </w:rPr>
        <w:t>На крају 201</w:t>
      </w:r>
      <w:r>
        <w:rPr>
          <w:lang w:val="bs-Cyrl-BA"/>
        </w:rPr>
        <w:t>8</w:t>
      </w:r>
      <w:r w:rsidRPr="008E0A7D">
        <w:rPr>
          <w:lang w:val="sr-Cyrl-CS"/>
        </w:rPr>
        <w:t>.</w:t>
      </w:r>
      <w:r>
        <w:rPr>
          <w:lang w:val="sr-Latn-BA"/>
        </w:rPr>
        <w:t xml:space="preserve"> </w:t>
      </w:r>
      <w:r w:rsidRPr="008E0A7D">
        <w:rPr>
          <w:lang w:val="sr-Cyrl-CS"/>
        </w:rPr>
        <w:t xml:space="preserve">године активно </w:t>
      </w:r>
      <w:r w:rsidRPr="00C82FCC">
        <w:rPr>
          <w:lang w:val="sr-Cyrl-CS"/>
        </w:rPr>
        <w:t xml:space="preserve">је </w:t>
      </w:r>
      <w:r>
        <w:rPr>
          <w:lang w:val="sr-Cyrl-CS"/>
        </w:rPr>
        <w:t>3</w:t>
      </w:r>
      <w:r>
        <w:rPr>
          <w:lang w:val="bs-Latn-BA"/>
        </w:rPr>
        <w:t>80</w:t>
      </w:r>
      <w:r w:rsidRPr="008E0A7D">
        <w:rPr>
          <w:lang w:val="hr-HR"/>
        </w:rPr>
        <w:t xml:space="preserve"> </w:t>
      </w:r>
      <w:r>
        <w:rPr>
          <w:lang w:val="sr-Cyrl-BA"/>
        </w:rPr>
        <w:t>у</w:t>
      </w:r>
      <w:r w:rsidRPr="008E0A7D">
        <w:rPr>
          <w:lang w:val="hr-HR"/>
        </w:rPr>
        <w:t xml:space="preserve">говора о повлаштеном паркирању са станарима који паркирају своја возила у зонама у којима се врши наплата паркирања, </w:t>
      </w:r>
      <w:r>
        <w:rPr>
          <w:lang w:val="sr-Cyrl-CS"/>
        </w:rPr>
        <w:t>10</w:t>
      </w:r>
      <w:r w:rsidRPr="008E0A7D">
        <w:rPr>
          <w:lang w:val="hr-HR"/>
        </w:rPr>
        <w:t xml:space="preserve"> </w:t>
      </w:r>
      <w:r>
        <w:rPr>
          <w:lang w:val="sr-Cyrl-BA"/>
        </w:rPr>
        <w:t>у</w:t>
      </w:r>
      <w:r w:rsidRPr="008E0A7D">
        <w:rPr>
          <w:lang w:val="hr-HR"/>
        </w:rPr>
        <w:t>говора са дистрибутерима киоск карата који тренутно врше дистрибуцију</w:t>
      </w:r>
      <w:r w:rsidRPr="008E0A7D">
        <w:rPr>
          <w:lang w:val="sr-Cyrl-CS"/>
        </w:rPr>
        <w:t>. Број корисника мје</w:t>
      </w:r>
      <w:r w:rsidRPr="008E0A7D">
        <w:rPr>
          <w:lang w:val="hr-HR"/>
        </w:rPr>
        <w:t xml:space="preserve">сечних </w:t>
      </w:r>
      <w:r w:rsidRPr="008E0A7D">
        <w:rPr>
          <w:lang w:val="sr-Cyrl-CS"/>
        </w:rPr>
        <w:t xml:space="preserve">претплатних </w:t>
      </w:r>
      <w:r w:rsidRPr="008E0A7D">
        <w:rPr>
          <w:lang w:val="hr-HR"/>
        </w:rPr>
        <w:t xml:space="preserve">карата </w:t>
      </w:r>
      <w:r>
        <w:rPr>
          <w:lang w:val="sr-Cyrl-CS"/>
        </w:rPr>
        <w:t>је 61</w:t>
      </w:r>
      <w:r w:rsidRPr="008E0A7D">
        <w:rPr>
          <w:lang w:val="sr-Cyrl-CS"/>
        </w:rPr>
        <w:t>,</w:t>
      </w:r>
      <w:r>
        <w:rPr>
          <w:lang w:val="sr-Cyrl-CS"/>
        </w:rPr>
        <w:t xml:space="preserve"> </w:t>
      </w:r>
      <w:r>
        <w:rPr>
          <w:color w:val="000000"/>
          <w:lang w:val="sr-Cyrl-CS"/>
        </w:rPr>
        <w:t>резервисан</w:t>
      </w:r>
      <w:r w:rsidR="00F457E8">
        <w:rPr>
          <w:color w:val="000000"/>
          <w:lang w:val="sr-Cyrl-CS"/>
        </w:rPr>
        <w:t>а су 4</w:t>
      </w:r>
      <w:r>
        <w:rPr>
          <w:color w:val="000000"/>
          <w:lang w:val="sr-Cyrl-CS"/>
        </w:rPr>
        <w:t xml:space="preserve"> паркинг мјеста, </w:t>
      </w:r>
      <w:r w:rsidRPr="008E0A7D">
        <w:rPr>
          <w:lang w:val="sr-Cyrl-CS"/>
        </w:rPr>
        <w:t>што је</w:t>
      </w:r>
      <w:r w:rsidRPr="008E0A7D">
        <w:rPr>
          <w:color w:val="FF0000"/>
          <w:lang w:val="sr-Cyrl-CS"/>
        </w:rPr>
        <w:t xml:space="preserve"> </w:t>
      </w:r>
      <w:r w:rsidRPr="008E0A7D">
        <w:rPr>
          <w:lang w:val="sr-Cyrl-CS"/>
        </w:rPr>
        <w:t>на нивоу предходних година.</w:t>
      </w:r>
    </w:p>
    <w:p w:rsidR="00286828" w:rsidRPr="008E0A7D" w:rsidRDefault="00286828" w:rsidP="00286828">
      <w:pPr>
        <w:jc w:val="both"/>
        <w:rPr>
          <w:lang w:val="sr-Cyrl-BA"/>
        </w:rPr>
      </w:pPr>
    </w:p>
    <w:p w:rsidR="00286828" w:rsidRDefault="00286828" w:rsidP="00286828">
      <w:pPr>
        <w:ind w:firstLine="720"/>
        <w:jc w:val="both"/>
        <w:rPr>
          <w:lang w:val="sr-Cyrl-BA"/>
        </w:rPr>
      </w:pPr>
      <w:r w:rsidRPr="008E0A7D">
        <w:rPr>
          <w:lang w:val="hr-HR"/>
        </w:rPr>
        <w:t>Контролори на терену су у току 20</w:t>
      </w:r>
      <w:r w:rsidRPr="008E0A7D">
        <w:rPr>
          <w:lang w:val="sr-Cyrl-CS"/>
        </w:rPr>
        <w:t>1</w:t>
      </w:r>
      <w:r>
        <w:rPr>
          <w:lang w:val="bs-Cyrl-BA"/>
        </w:rPr>
        <w:t>8</w:t>
      </w:r>
      <w:r>
        <w:rPr>
          <w:lang w:val="sr-Cyrl-BA"/>
        </w:rPr>
        <w:t xml:space="preserve">. </w:t>
      </w:r>
      <w:r w:rsidRPr="008E0A7D">
        <w:rPr>
          <w:lang w:val="hr-HR"/>
        </w:rPr>
        <w:t>год</w:t>
      </w:r>
      <w:r>
        <w:rPr>
          <w:lang w:val="sr-Cyrl-BA"/>
        </w:rPr>
        <w:t xml:space="preserve">ине </w:t>
      </w:r>
      <w:r w:rsidRPr="008E0A7D">
        <w:rPr>
          <w:lang w:val="hr-HR"/>
        </w:rPr>
        <w:t xml:space="preserve">извршили </w:t>
      </w:r>
      <w:r>
        <w:rPr>
          <w:lang w:val="sr-Cyrl-BA"/>
        </w:rPr>
        <w:t>6</w:t>
      </w:r>
      <w:r>
        <w:rPr>
          <w:lang w:val="bs-Cyrl-BA"/>
        </w:rPr>
        <w:t>83</w:t>
      </w:r>
      <w:r w:rsidRPr="00F04B96">
        <w:rPr>
          <w:lang w:val="hr-HR"/>
        </w:rPr>
        <w:t>.</w:t>
      </w:r>
      <w:r>
        <w:rPr>
          <w:lang w:val="bs-Cyrl-BA"/>
        </w:rPr>
        <w:t>426</w:t>
      </w:r>
      <w:r w:rsidRPr="00F04B96">
        <w:rPr>
          <w:lang w:val="hr-HR"/>
        </w:rPr>
        <w:t xml:space="preserve"> </w:t>
      </w:r>
      <w:r w:rsidRPr="008E0A7D">
        <w:rPr>
          <w:lang w:val="hr-HR"/>
        </w:rPr>
        <w:t>уочавања возила. Укупно у 20</w:t>
      </w:r>
      <w:r w:rsidRPr="008E0A7D">
        <w:rPr>
          <w:lang w:val="sr-Cyrl-CS"/>
        </w:rPr>
        <w:t>1</w:t>
      </w:r>
      <w:r>
        <w:rPr>
          <w:lang w:val="bs-Cyrl-BA"/>
        </w:rPr>
        <w:t>8</w:t>
      </w:r>
      <w:r w:rsidRPr="008E0A7D">
        <w:rPr>
          <w:lang w:val="hr-HR"/>
        </w:rPr>
        <w:t>.</w:t>
      </w:r>
      <w:r>
        <w:rPr>
          <w:lang w:val="sr-Cyrl-BA"/>
        </w:rPr>
        <w:t xml:space="preserve"> </w:t>
      </w:r>
      <w:r w:rsidRPr="008E0A7D">
        <w:rPr>
          <w:lang w:val="hr-HR"/>
        </w:rPr>
        <w:t xml:space="preserve">години евидентирано паркирање путем СМС-а </w:t>
      </w:r>
      <w:r w:rsidR="000F61B5">
        <w:rPr>
          <w:lang w:val="sr-Cyrl-BA"/>
        </w:rPr>
        <w:t xml:space="preserve">је </w:t>
      </w:r>
      <w:r>
        <w:rPr>
          <w:lang w:val="sr-Cyrl-BA"/>
        </w:rPr>
        <w:t>302</w:t>
      </w:r>
      <w:r w:rsidRPr="008E0A7D">
        <w:rPr>
          <w:lang w:val="sr-Cyrl-CS"/>
        </w:rPr>
        <w:t>.</w:t>
      </w:r>
      <w:r>
        <w:rPr>
          <w:lang w:val="bs-Cyrl-BA"/>
        </w:rPr>
        <w:t>607</w:t>
      </w:r>
      <w:r w:rsidRPr="008E0A7D">
        <w:rPr>
          <w:lang w:val="sr-Cyrl-CS"/>
        </w:rPr>
        <w:t xml:space="preserve"> </w:t>
      </w:r>
      <w:r w:rsidRPr="008E0A7D">
        <w:rPr>
          <w:lang w:val="hr-HR"/>
        </w:rPr>
        <w:t xml:space="preserve"> за црвену зону, </w:t>
      </w:r>
      <w:r>
        <w:rPr>
          <w:lang w:val="sr-Cyrl-BA"/>
        </w:rPr>
        <w:t>193.</w:t>
      </w:r>
      <w:r>
        <w:rPr>
          <w:lang w:val="bs-Cyrl-BA"/>
        </w:rPr>
        <w:t>891</w:t>
      </w:r>
      <w:r w:rsidRPr="008E0A7D">
        <w:rPr>
          <w:color w:val="FF0000"/>
          <w:lang w:val="hr-HR"/>
        </w:rPr>
        <w:t xml:space="preserve"> </w:t>
      </w:r>
      <w:r w:rsidRPr="008E0A7D">
        <w:rPr>
          <w:lang w:val="hr-HR"/>
        </w:rPr>
        <w:t xml:space="preserve">пута за плаву зону и </w:t>
      </w:r>
      <w:r>
        <w:rPr>
          <w:lang w:val="sr-Cyrl-BA"/>
        </w:rPr>
        <w:t>3</w:t>
      </w:r>
      <w:r>
        <w:rPr>
          <w:lang w:val="bs-Cyrl-BA"/>
        </w:rPr>
        <w:t>7</w:t>
      </w:r>
      <w:r w:rsidRPr="008E0A7D">
        <w:rPr>
          <w:lang w:val="sr-Cyrl-CS"/>
        </w:rPr>
        <w:t>.</w:t>
      </w:r>
      <w:r>
        <w:rPr>
          <w:lang w:val="bs-Cyrl-BA"/>
        </w:rPr>
        <w:t>236</w:t>
      </w:r>
      <w:r w:rsidRPr="008E0A7D">
        <w:rPr>
          <w:lang w:val="hr-HR"/>
        </w:rPr>
        <w:t xml:space="preserve"> дневних паркирања. Дистрибутери паркинг карата су  за овај период укупно задужили </w:t>
      </w:r>
      <w:r>
        <w:rPr>
          <w:lang w:val="sr-Cyrl-BA"/>
        </w:rPr>
        <w:t>212.</w:t>
      </w:r>
      <w:r>
        <w:rPr>
          <w:lang w:val="bs-Cyrl-BA"/>
        </w:rPr>
        <w:t>6</w:t>
      </w:r>
      <w:r>
        <w:t>00</w:t>
      </w:r>
      <w:r w:rsidRPr="008E0A7D">
        <w:rPr>
          <w:lang w:val="hr-HR"/>
        </w:rPr>
        <w:t xml:space="preserve"> картица </w:t>
      </w:r>
      <w:r w:rsidR="000F61B5">
        <w:rPr>
          <w:lang w:val="sr-Cyrl-BA"/>
        </w:rPr>
        <w:t xml:space="preserve">за </w:t>
      </w:r>
      <w:r w:rsidRPr="008E0A7D">
        <w:rPr>
          <w:lang w:val="hr-HR"/>
        </w:rPr>
        <w:t>црвен</w:t>
      </w:r>
      <w:r w:rsidR="000F61B5">
        <w:rPr>
          <w:lang w:val="sr-Cyrl-BA"/>
        </w:rPr>
        <w:t>у</w:t>
      </w:r>
      <w:r w:rsidRPr="008E0A7D">
        <w:rPr>
          <w:lang w:val="hr-HR"/>
        </w:rPr>
        <w:t xml:space="preserve"> зон</w:t>
      </w:r>
      <w:r w:rsidR="000F61B5">
        <w:rPr>
          <w:lang w:val="sr-Cyrl-BA"/>
        </w:rPr>
        <w:t>у</w:t>
      </w:r>
      <w:r>
        <w:rPr>
          <w:lang w:val="hr-HR"/>
        </w:rPr>
        <w:t>,</w:t>
      </w:r>
      <w:r>
        <w:rPr>
          <w:lang w:val="sr-Cyrl-BA"/>
        </w:rPr>
        <w:t xml:space="preserve"> </w:t>
      </w:r>
      <w:r>
        <w:t>2</w:t>
      </w:r>
      <w:r>
        <w:rPr>
          <w:lang w:val="bs-Cyrl-BA"/>
        </w:rPr>
        <w:t>0</w:t>
      </w:r>
      <w:r>
        <w:rPr>
          <w:lang w:val="sr-Cyrl-BA"/>
        </w:rPr>
        <w:t>.</w:t>
      </w:r>
      <w:r>
        <w:rPr>
          <w:lang w:val="bs-Cyrl-BA"/>
        </w:rPr>
        <w:t>4</w:t>
      </w:r>
      <w:r>
        <w:t>00</w:t>
      </w:r>
      <w:r w:rsidRPr="008E0A7D">
        <w:rPr>
          <w:lang w:val="hr-HR"/>
        </w:rPr>
        <w:t xml:space="preserve"> картица</w:t>
      </w:r>
      <w:r w:rsidR="000F61B5">
        <w:rPr>
          <w:lang w:val="sr-Cyrl-BA"/>
        </w:rPr>
        <w:t xml:space="preserve"> за</w:t>
      </w:r>
      <w:r w:rsidRPr="008E0A7D">
        <w:rPr>
          <w:lang w:val="hr-HR"/>
        </w:rPr>
        <w:t xml:space="preserve"> плав</w:t>
      </w:r>
      <w:r w:rsidR="000F61B5">
        <w:rPr>
          <w:lang w:val="sr-Cyrl-BA"/>
        </w:rPr>
        <w:t>у</w:t>
      </w:r>
      <w:r w:rsidRPr="008E0A7D">
        <w:rPr>
          <w:lang w:val="hr-HR"/>
        </w:rPr>
        <w:t xml:space="preserve"> зон</w:t>
      </w:r>
      <w:r w:rsidR="000F61B5">
        <w:rPr>
          <w:lang w:val="sr-Cyrl-BA"/>
        </w:rPr>
        <w:t>у</w:t>
      </w:r>
      <w:r w:rsidRPr="008E0A7D">
        <w:rPr>
          <w:lang w:val="hr-HR"/>
        </w:rPr>
        <w:t xml:space="preserve"> и </w:t>
      </w:r>
      <w:r>
        <w:rPr>
          <w:lang w:val="bs-Cyrl-BA"/>
        </w:rPr>
        <w:t>7</w:t>
      </w:r>
      <w:r>
        <w:rPr>
          <w:lang w:val="sr-Cyrl-CS"/>
        </w:rPr>
        <w:t>.</w:t>
      </w:r>
      <w:r>
        <w:rPr>
          <w:lang w:val="bs-Cyrl-BA"/>
        </w:rPr>
        <w:t>6</w:t>
      </w:r>
      <w:r>
        <w:rPr>
          <w:lang w:val="sr-Cyrl-CS"/>
        </w:rPr>
        <w:t>00</w:t>
      </w:r>
      <w:r w:rsidRPr="008E0A7D">
        <w:rPr>
          <w:lang w:val="hr-HR"/>
        </w:rPr>
        <w:t xml:space="preserve"> дневних картица.</w:t>
      </w:r>
      <w:r w:rsidRPr="008E0A7D">
        <w:rPr>
          <w:lang w:val="sr-Cyrl-CS"/>
        </w:rPr>
        <w:t xml:space="preserve"> У односу на 201</w:t>
      </w:r>
      <w:r>
        <w:rPr>
          <w:lang w:val="bs-Cyrl-BA"/>
        </w:rPr>
        <w:t>7</w:t>
      </w:r>
      <w:r w:rsidRPr="008E0A7D">
        <w:rPr>
          <w:lang w:val="sr-Cyrl-CS"/>
        </w:rPr>
        <w:t>. годину евидентно је да се плаћање паркирања путем киоск карата</w:t>
      </w:r>
      <w:r>
        <w:rPr>
          <w:lang w:val="sr-Cyrl-CS"/>
        </w:rPr>
        <w:t xml:space="preserve"> повећало.</w:t>
      </w:r>
      <w:r w:rsidRPr="008E0A7D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Pr="008E0A7D">
        <w:rPr>
          <w:lang w:val="hr-HR"/>
        </w:rPr>
        <w:t xml:space="preserve">Корисници паркирања се у већој мјери одлучују да плате паркирање путем СМС порука у односу на плаћање киоск картицама (приближно </w:t>
      </w:r>
      <w:r>
        <w:rPr>
          <w:lang w:val="sr-Cyrl-CS"/>
        </w:rPr>
        <w:t>2,3</w:t>
      </w:r>
      <w:r w:rsidRPr="008E0A7D">
        <w:rPr>
          <w:lang w:val="hr-HR"/>
        </w:rPr>
        <w:t xml:space="preserve"> пута више</w:t>
      </w:r>
      <w:r>
        <w:rPr>
          <w:lang w:val="sr-Cyrl-BA"/>
        </w:rPr>
        <w:t>).</w:t>
      </w:r>
    </w:p>
    <w:p w:rsidR="00286828" w:rsidRPr="00464AFF" w:rsidRDefault="00286828" w:rsidP="00286828">
      <w:pPr>
        <w:ind w:firstLine="720"/>
        <w:jc w:val="both"/>
        <w:rPr>
          <w:lang w:val="sr-Cyrl-BA"/>
        </w:rPr>
      </w:pPr>
    </w:p>
    <w:p w:rsidR="00286828" w:rsidRDefault="00286828" w:rsidP="00286828">
      <w:pPr>
        <w:ind w:firstLine="720"/>
        <w:jc w:val="both"/>
        <w:rPr>
          <w:b/>
          <w:lang w:val="sr-Cyrl-CS"/>
        </w:rPr>
      </w:pPr>
      <w:r w:rsidRPr="008E0A7D">
        <w:rPr>
          <w:b/>
          <w:lang w:val="sr-Cyrl-CS"/>
        </w:rPr>
        <w:lastRenderedPageBreak/>
        <w:t xml:space="preserve">Посматрајући број укупно уплаћених паркирања по зонама (и путем СМС-а и путем киоск картица) може се уочити да </w:t>
      </w:r>
      <w:r w:rsidR="000F61B5">
        <w:rPr>
          <w:b/>
          <w:lang w:val="sr-Cyrl-CS"/>
        </w:rPr>
        <w:t>с</w:t>
      </w:r>
      <w:r w:rsidRPr="008E0A7D">
        <w:rPr>
          <w:b/>
          <w:lang w:val="sr-Cyrl-CS"/>
        </w:rPr>
        <w:t>е у односу на 201</w:t>
      </w:r>
      <w:r>
        <w:rPr>
          <w:b/>
          <w:lang w:val="sr-Cyrl-BA"/>
        </w:rPr>
        <w:t>7</w:t>
      </w:r>
      <w:r w:rsidRPr="008E0A7D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8E0A7D">
        <w:rPr>
          <w:b/>
          <w:lang w:val="sr-Cyrl-CS"/>
        </w:rPr>
        <w:t>год</w:t>
      </w:r>
      <w:r>
        <w:rPr>
          <w:b/>
          <w:lang w:val="sr-Cyrl-CS"/>
        </w:rPr>
        <w:t>ину</w:t>
      </w:r>
      <w:r w:rsidRPr="008E0A7D">
        <w:rPr>
          <w:b/>
          <w:lang w:val="sr-Cyrl-CS"/>
        </w:rPr>
        <w:t>, број плаћен</w:t>
      </w:r>
      <w:r>
        <w:rPr>
          <w:b/>
          <w:lang w:val="sr-Cyrl-CS"/>
        </w:rPr>
        <w:t>их паркирања у црвеној зони повећао</w:t>
      </w:r>
      <w:r w:rsidRPr="008E0A7D">
        <w:rPr>
          <w:b/>
          <w:lang w:val="sr-Cyrl-CS"/>
        </w:rPr>
        <w:t xml:space="preserve"> за </w:t>
      </w:r>
      <w:r>
        <w:rPr>
          <w:b/>
          <w:lang w:val="sr-Cyrl-BA"/>
        </w:rPr>
        <w:t>8</w:t>
      </w:r>
      <w:r>
        <w:rPr>
          <w:b/>
          <w:lang w:val="sr-Cyrl-CS"/>
        </w:rPr>
        <w:t>%,  док се у</w:t>
      </w:r>
      <w:r w:rsidRPr="008E0A7D">
        <w:rPr>
          <w:b/>
          <w:lang w:val="sr-Cyrl-CS"/>
        </w:rPr>
        <w:t xml:space="preserve"> плавој </w:t>
      </w:r>
      <w:r>
        <w:rPr>
          <w:b/>
          <w:lang w:val="sr-Cyrl-CS"/>
        </w:rPr>
        <w:t xml:space="preserve">зони </w:t>
      </w:r>
      <w:r>
        <w:rPr>
          <w:b/>
          <w:lang w:val="sr-Cyrl-BA"/>
        </w:rPr>
        <w:t xml:space="preserve">смањио </w:t>
      </w:r>
      <w:r w:rsidRPr="008E0A7D">
        <w:rPr>
          <w:b/>
          <w:lang w:val="sr-Cyrl-CS"/>
        </w:rPr>
        <w:t>за</w:t>
      </w:r>
      <w:r w:rsidRPr="008E0A7D">
        <w:rPr>
          <w:b/>
          <w:lang w:val="sr-Cyrl-BA"/>
        </w:rPr>
        <w:t xml:space="preserve">  </w:t>
      </w:r>
      <w:r>
        <w:rPr>
          <w:b/>
          <w:lang w:val="sr-Cyrl-BA"/>
        </w:rPr>
        <w:t>10%</w:t>
      </w:r>
      <w:r w:rsidRPr="008E0A7D">
        <w:rPr>
          <w:b/>
          <w:lang w:val="sr-Cyrl-CS"/>
        </w:rPr>
        <w:t xml:space="preserve"> </w:t>
      </w:r>
      <w:r>
        <w:rPr>
          <w:b/>
          <w:lang w:val="sr-Cyrl-CS"/>
        </w:rPr>
        <w:t>(због све већег броја  дневних кар</w:t>
      </w:r>
      <w:r w:rsidR="00655DF1">
        <w:rPr>
          <w:b/>
          <w:lang w:val="sr-Cyrl-CS"/>
        </w:rPr>
        <w:t>ата</w:t>
      </w:r>
      <w:r>
        <w:rPr>
          <w:b/>
          <w:lang w:val="sr-Cyrl-CS"/>
        </w:rPr>
        <w:t xml:space="preserve"> у плавој зони).</w:t>
      </w:r>
    </w:p>
    <w:p w:rsidR="00286828" w:rsidRPr="008E0A7D" w:rsidRDefault="00286828" w:rsidP="00286828">
      <w:pPr>
        <w:ind w:firstLine="720"/>
        <w:jc w:val="both"/>
        <w:rPr>
          <w:b/>
          <w:lang w:val="sr-Cyrl-BA"/>
        </w:rPr>
      </w:pPr>
    </w:p>
    <w:p w:rsidR="00286828" w:rsidRPr="00655DF1" w:rsidRDefault="00286828" w:rsidP="00286828">
      <w:pPr>
        <w:jc w:val="both"/>
        <w:rPr>
          <w:lang w:val="sr-Cyrl-CS"/>
        </w:rPr>
      </w:pPr>
      <w:r w:rsidRPr="008E0A7D">
        <w:rPr>
          <w:lang w:val="hr-HR"/>
        </w:rPr>
        <w:tab/>
      </w:r>
      <w:r w:rsidRPr="00C82FCC">
        <w:rPr>
          <w:lang w:val="hr-HR"/>
        </w:rPr>
        <w:t>Одлуком о паркирању у граду Бијељина („Сл.гласник општине Бијељина бр. 23/07</w:t>
      </w:r>
      <w:r>
        <w:rPr>
          <w:lang w:val="bs-Cyrl-BA"/>
        </w:rPr>
        <w:t>, 3/11, 7/14</w:t>
      </w:r>
      <w:r w:rsidRPr="00C82FCC">
        <w:rPr>
          <w:lang w:val="hr-HR"/>
        </w:rPr>
        <w:t>) и Правилником о</w:t>
      </w:r>
      <w:r w:rsidR="00655DF1">
        <w:rPr>
          <w:lang w:val="sr-Cyrl-BA"/>
        </w:rPr>
        <w:t xml:space="preserve"> јавним паркиралиштима</w:t>
      </w:r>
      <w:r w:rsidR="00182A2A">
        <w:rPr>
          <w:lang w:val="sr-Cyrl-BA"/>
        </w:rPr>
        <w:t>,</w:t>
      </w:r>
      <w:r w:rsidRPr="00C82FCC">
        <w:rPr>
          <w:lang w:val="hr-HR"/>
        </w:rPr>
        <w:t xml:space="preserve"> као казна за неплаћено паркирање предвиђена је доплатна карта по цијени од 10 КМ. У току 20</w:t>
      </w:r>
      <w:r w:rsidRPr="00C82FCC">
        <w:rPr>
          <w:lang w:val="sr-Cyrl-CS"/>
        </w:rPr>
        <w:t>1</w:t>
      </w:r>
      <w:r>
        <w:rPr>
          <w:lang w:val="sr-Cyrl-BA"/>
        </w:rPr>
        <w:t>8.</w:t>
      </w:r>
      <w:r>
        <w:t xml:space="preserve"> године </w:t>
      </w:r>
      <w:r w:rsidRPr="00C82FCC">
        <w:rPr>
          <w:lang w:val="hr-HR"/>
        </w:rPr>
        <w:t xml:space="preserve"> издато је </w:t>
      </w:r>
      <w:r>
        <w:rPr>
          <w:lang w:val="sr-Cyrl-CS"/>
        </w:rPr>
        <w:t>13</w:t>
      </w:r>
      <w:r w:rsidRPr="00C82FCC">
        <w:rPr>
          <w:lang w:val="sr-Cyrl-CS"/>
        </w:rPr>
        <w:t>.</w:t>
      </w:r>
      <w:r>
        <w:rPr>
          <w:lang w:val="sr-Cyrl-BA"/>
        </w:rPr>
        <w:t>397</w:t>
      </w:r>
      <w:r w:rsidRPr="00C82FCC">
        <w:rPr>
          <w:lang w:val="sr-Cyrl-CS"/>
        </w:rPr>
        <w:t xml:space="preserve"> </w:t>
      </w:r>
      <w:r w:rsidRPr="00C82FCC">
        <w:rPr>
          <w:lang w:val="hr-HR"/>
        </w:rPr>
        <w:t>доплатних карата</w:t>
      </w:r>
      <w:r>
        <w:rPr>
          <w:lang w:val="hr-HR"/>
        </w:rPr>
        <w:t>,</w:t>
      </w:r>
      <w:r w:rsidRPr="00C82FCC">
        <w:rPr>
          <w:color w:val="FF0000"/>
          <w:lang w:val="sr-Cyrl-CS"/>
        </w:rPr>
        <w:t xml:space="preserve"> </w:t>
      </w:r>
      <w:r w:rsidRPr="00E72BED">
        <w:rPr>
          <w:lang w:val="sr-Cyrl-CS"/>
        </w:rPr>
        <w:t xml:space="preserve">док је </w:t>
      </w:r>
      <w:r w:rsidR="000F61B5">
        <w:rPr>
          <w:lang w:val="sr-Cyrl-CS"/>
        </w:rPr>
        <w:t xml:space="preserve">њихов </w:t>
      </w:r>
      <w:r w:rsidRPr="00E72BED">
        <w:rPr>
          <w:lang w:val="sr-Cyrl-CS"/>
        </w:rPr>
        <w:t xml:space="preserve">укупан степен наплативости </w:t>
      </w:r>
      <w:r w:rsidRPr="00E72BED">
        <w:rPr>
          <w:lang w:val="sr-Cyrl-BA"/>
        </w:rPr>
        <w:t xml:space="preserve"> </w:t>
      </w:r>
      <w:r w:rsidRPr="00E72BED">
        <w:rPr>
          <w:lang w:val="sr-Cyrl-CS"/>
        </w:rPr>
        <w:t xml:space="preserve">око </w:t>
      </w:r>
      <w:r>
        <w:rPr>
          <w:lang w:val="sr-Cyrl-BA"/>
        </w:rPr>
        <w:t xml:space="preserve">41 </w:t>
      </w:r>
      <w:r w:rsidRPr="00E72BED">
        <w:rPr>
          <w:lang w:val="sr-Cyrl-CS"/>
        </w:rPr>
        <w:t>%.</w:t>
      </w:r>
      <w:r>
        <w:rPr>
          <w:lang w:val="sr-Cyrl-CS"/>
        </w:rPr>
        <w:t xml:space="preserve"> </w:t>
      </w:r>
      <w:r w:rsidR="00655DF1">
        <w:rPr>
          <w:lang w:val="sr-Cyrl-CS"/>
        </w:rPr>
        <w:t xml:space="preserve"> </w:t>
      </w:r>
      <w:r>
        <w:rPr>
          <w:lang w:val="sr-Cyrl-CS"/>
        </w:rPr>
        <w:t xml:space="preserve">У </w:t>
      </w:r>
      <w:r w:rsidRPr="00C82FCC">
        <w:rPr>
          <w:lang w:val="sr-Cyrl-CS"/>
        </w:rPr>
        <w:t>201</w:t>
      </w:r>
      <w:r>
        <w:rPr>
          <w:lang w:val="sr-Cyrl-BA"/>
        </w:rPr>
        <w:t>8</w:t>
      </w:r>
      <w:r w:rsidRPr="00C82FCC">
        <w:rPr>
          <w:lang w:val="sr-Cyrl-CS"/>
        </w:rPr>
        <w:t xml:space="preserve">. години извршено је </w:t>
      </w:r>
      <w:r>
        <w:rPr>
          <w:lang w:val="sr-Cyrl-BA"/>
        </w:rPr>
        <w:t>40</w:t>
      </w:r>
      <w:r w:rsidRPr="00C82FCC">
        <w:rPr>
          <w:lang w:val="sr-Cyrl-CS"/>
        </w:rPr>
        <w:t xml:space="preserve"> блокирања возила направама за блокирање и деблокирање возила. Број </w:t>
      </w:r>
      <w:r>
        <w:rPr>
          <w:lang w:val="sr-Cyrl-CS"/>
        </w:rPr>
        <w:t xml:space="preserve">издатих </w:t>
      </w:r>
      <w:r w:rsidRPr="00C82FCC">
        <w:rPr>
          <w:lang w:val="sr-Cyrl-CS"/>
        </w:rPr>
        <w:t xml:space="preserve">доплатних </w:t>
      </w:r>
      <w:r>
        <w:rPr>
          <w:lang w:val="sr-Cyrl-CS"/>
        </w:rPr>
        <w:t xml:space="preserve">карата (казни) </w:t>
      </w:r>
      <w:r w:rsidRPr="00C82FCC">
        <w:rPr>
          <w:lang w:val="sr-Cyrl-CS"/>
        </w:rPr>
        <w:t xml:space="preserve"> у 201</w:t>
      </w:r>
      <w:r>
        <w:rPr>
          <w:lang w:val="sr-Cyrl-BA"/>
        </w:rPr>
        <w:t>8</w:t>
      </w:r>
      <w:r>
        <w:rPr>
          <w:lang w:val="sr-Cyrl-CS"/>
        </w:rPr>
        <w:t xml:space="preserve">. години смањен је </w:t>
      </w:r>
      <w:r>
        <w:rPr>
          <w:lang w:val="sr-Cyrl-BA"/>
        </w:rPr>
        <w:t xml:space="preserve"> у односу на претходне године, због повећања продаје паркинг кар</w:t>
      </w:r>
      <w:r w:rsidR="000F61B5">
        <w:rPr>
          <w:lang w:val="sr-Cyrl-BA"/>
        </w:rPr>
        <w:t>ата</w:t>
      </w:r>
      <w:r>
        <w:rPr>
          <w:lang w:val="sr-Cyrl-BA"/>
        </w:rPr>
        <w:t xml:space="preserve">. </w:t>
      </w:r>
      <w:r w:rsidRPr="008E0A7D">
        <w:rPr>
          <w:lang w:val="hr-HR"/>
        </w:rPr>
        <w:t xml:space="preserve">Трошкови ПДВ, опомене, вођење поступка, блокирање возила и др. </w:t>
      </w:r>
      <w:r w:rsidRPr="008E0A7D">
        <w:rPr>
          <w:lang w:val="sr-Cyrl-CS"/>
        </w:rPr>
        <w:t>п</w:t>
      </w:r>
      <w:r w:rsidRPr="008E0A7D">
        <w:rPr>
          <w:lang w:val="hr-HR"/>
        </w:rPr>
        <w:t xml:space="preserve">адају на терет Дирекције. </w:t>
      </w:r>
    </w:p>
    <w:p w:rsidR="00286828" w:rsidRPr="008E0A7D" w:rsidRDefault="00286828" w:rsidP="00286828">
      <w:pPr>
        <w:ind w:firstLine="720"/>
        <w:jc w:val="both"/>
        <w:rPr>
          <w:lang w:val="hr-HR"/>
        </w:rPr>
      </w:pPr>
    </w:p>
    <w:p w:rsidR="00286828" w:rsidRPr="000F61B5" w:rsidRDefault="00286828" w:rsidP="00286828">
      <w:pPr>
        <w:ind w:firstLine="720"/>
        <w:jc w:val="both"/>
        <w:rPr>
          <w:lang w:val="sr-Cyrl-BA"/>
        </w:rPr>
      </w:pPr>
      <w:r w:rsidRPr="000F61B5">
        <w:rPr>
          <w:b/>
          <w:lang w:val="sr-Cyrl-BA"/>
        </w:rPr>
        <w:t>Раст прихода од 4% у</w:t>
      </w:r>
      <w:r w:rsidRPr="000F61B5">
        <w:rPr>
          <w:b/>
          <w:lang w:val="sr-Cyrl-CS"/>
        </w:rPr>
        <w:t xml:space="preserve"> 201</w:t>
      </w:r>
      <w:r w:rsidRPr="000F61B5">
        <w:rPr>
          <w:b/>
          <w:lang w:val="sr-Cyrl-BA"/>
        </w:rPr>
        <w:t>8</w:t>
      </w:r>
      <w:r w:rsidRPr="000F61B5">
        <w:rPr>
          <w:b/>
          <w:lang w:val="sr-Cyrl-CS"/>
        </w:rPr>
        <w:t>. години</w:t>
      </w:r>
      <w:r w:rsidRPr="000F61B5">
        <w:rPr>
          <w:lang w:val="sr-Cyrl-BA"/>
        </w:rPr>
        <w:t xml:space="preserve"> у односу на 2017. годину </w:t>
      </w:r>
      <w:r w:rsidR="000F61B5" w:rsidRPr="000F61B5">
        <w:rPr>
          <w:lang w:val="sr-Cyrl-CS"/>
        </w:rPr>
        <w:t xml:space="preserve"> проузрокован је тиме </w:t>
      </w:r>
      <w:r w:rsidRPr="000F61B5">
        <w:rPr>
          <w:lang w:val="sr-Cyrl-CS"/>
        </w:rPr>
        <w:t xml:space="preserve">што је током 2017. године побољшана контрола паркирања, због набавке нових ПДА уређаја и мобилних штампача, а такође и због новог начина наплате доплатних карата </w:t>
      </w:r>
      <w:r w:rsidR="00655DF1" w:rsidRPr="000F61B5">
        <w:rPr>
          <w:lang w:val="sr-Cyrl-CS"/>
        </w:rPr>
        <w:t>путем</w:t>
      </w:r>
      <w:r w:rsidRPr="000F61B5">
        <w:rPr>
          <w:lang w:val="sr-Cyrl-CS"/>
        </w:rPr>
        <w:t xml:space="preserve"> </w:t>
      </w:r>
      <w:r w:rsidR="00655DF1" w:rsidRPr="000F61B5">
        <w:rPr>
          <w:lang w:val="sr-Cyrl-CS"/>
        </w:rPr>
        <w:t>„</w:t>
      </w:r>
      <w:r w:rsidR="00655DF1" w:rsidRPr="000F61B5">
        <w:rPr>
          <w:lang w:val="sr-Latn-BA"/>
        </w:rPr>
        <w:t>Euro Parking Collection plc</w:t>
      </w:r>
      <w:r w:rsidR="00655DF1" w:rsidRPr="000F61B5">
        <w:rPr>
          <w:lang w:val="sr-Cyrl-CS"/>
        </w:rPr>
        <w:t>“</w:t>
      </w:r>
      <w:r w:rsidRPr="000F61B5">
        <w:rPr>
          <w:lang w:val="sr-Cyrl-CS"/>
        </w:rPr>
        <w:t xml:space="preserve"> из Лондона, за возила са страним регистарским ознакама</w:t>
      </w:r>
      <w:r w:rsidR="00182A2A" w:rsidRPr="000F61B5">
        <w:rPr>
          <w:lang w:val="sr-Cyrl-CS"/>
        </w:rPr>
        <w:t>.</w:t>
      </w:r>
      <w:r w:rsidRPr="000F61B5">
        <w:rPr>
          <w:lang w:val="sr-Cyrl-CS"/>
        </w:rPr>
        <w:t xml:space="preserve"> </w:t>
      </w:r>
      <w:r w:rsidR="00182A2A" w:rsidRPr="000F61B5">
        <w:rPr>
          <w:lang w:val="sr-Cyrl-CS"/>
        </w:rPr>
        <w:t>Н</w:t>
      </w:r>
      <w:r w:rsidR="00655DF1" w:rsidRPr="000F61B5">
        <w:rPr>
          <w:lang w:val="sr-Cyrl-CS"/>
        </w:rPr>
        <w:t xml:space="preserve">аплата од </w:t>
      </w:r>
      <w:r w:rsidRPr="000F61B5">
        <w:rPr>
          <w:lang w:val="sr-Cyrl-CS"/>
        </w:rPr>
        <w:t xml:space="preserve"> домаћи</w:t>
      </w:r>
      <w:r w:rsidR="00655DF1" w:rsidRPr="000F61B5">
        <w:rPr>
          <w:lang w:val="sr-Cyrl-CS"/>
        </w:rPr>
        <w:t>х</w:t>
      </w:r>
      <w:r w:rsidRPr="000F61B5">
        <w:rPr>
          <w:lang w:val="sr-Cyrl-CS"/>
        </w:rPr>
        <w:t xml:space="preserve"> корисни</w:t>
      </w:r>
      <w:r w:rsidR="00655DF1" w:rsidRPr="000F61B5">
        <w:rPr>
          <w:lang w:val="sr-Cyrl-CS"/>
        </w:rPr>
        <w:t>ка</w:t>
      </w:r>
      <w:r w:rsidR="00182A2A" w:rsidRPr="000F61B5">
        <w:rPr>
          <w:lang w:val="sr-Cyrl-CS"/>
        </w:rPr>
        <w:t xml:space="preserve"> које имају више неизмирених </w:t>
      </w:r>
      <w:r w:rsidRPr="000F61B5">
        <w:rPr>
          <w:lang w:val="sr-Cyrl-CS"/>
        </w:rPr>
        <w:t xml:space="preserve">доплатних карата </w:t>
      </w:r>
      <w:r w:rsidR="00655DF1" w:rsidRPr="000F61B5">
        <w:rPr>
          <w:lang w:val="sr-Cyrl-CS"/>
        </w:rPr>
        <w:t>врши се судским путем</w:t>
      </w:r>
      <w:r w:rsidRPr="000F61B5">
        <w:rPr>
          <w:lang w:val="sr-Cyrl-CS"/>
        </w:rPr>
        <w:t>, што је</w:t>
      </w:r>
      <w:r w:rsidR="00182A2A" w:rsidRPr="000F61B5">
        <w:rPr>
          <w:lang w:val="sr-Cyrl-CS"/>
        </w:rPr>
        <w:t xml:space="preserve"> такође</w:t>
      </w:r>
      <w:r w:rsidRPr="000F61B5">
        <w:rPr>
          <w:lang w:val="sr-Cyrl-CS"/>
        </w:rPr>
        <w:t xml:space="preserve"> доприн</w:t>
      </w:r>
      <w:r w:rsidR="00655DF1" w:rsidRPr="000F61B5">
        <w:rPr>
          <w:lang w:val="sr-Cyrl-CS"/>
        </w:rPr>
        <w:t>и</w:t>
      </w:r>
      <w:r w:rsidRPr="000F61B5">
        <w:rPr>
          <w:lang w:val="sr-Cyrl-CS"/>
        </w:rPr>
        <w:t>јело повећању прихода у 2018. години.</w:t>
      </w:r>
    </w:p>
    <w:p w:rsidR="00286828" w:rsidRPr="000F61B5" w:rsidRDefault="00286828" w:rsidP="00286828">
      <w:pPr>
        <w:jc w:val="both"/>
        <w:rPr>
          <w:lang w:val="sr-Cyrl-BA"/>
        </w:rPr>
      </w:pPr>
    </w:p>
    <w:p w:rsidR="00286828" w:rsidRDefault="00286828" w:rsidP="00286828">
      <w:pPr>
        <w:jc w:val="both"/>
        <w:rPr>
          <w:b/>
          <w:lang w:val="sr-Cyrl-BA"/>
        </w:rPr>
      </w:pPr>
    </w:p>
    <w:p w:rsidR="00286828" w:rsidRDefault="00286828" w:rsidP="00286828">
      <w:pPr>
        <w:jc w:val="both"/>
        <w:rPr>
          <w:b/>
          <w:lang w:val="hr-HR"/>
        </w:rPr>
      </w:pPr>
      <w:r w:rsidRPr="008E0A7D">
        <w:rPr>
          <w:lang w:val="sr-Cyrl-CS"/>
        </w:rPr>
        <w:tab/>
      </w:r>
      <w:r w:rsidRPr="008E0A7D">
        <w:rPr>
          <w:b/>
          <w:lang w:val="hr-HR"/>
        </w:rPr>
        <w:t>План активности и приједлози  на даљем побољшању услова паркирања</w:t>
      </w:r>
    </w:p>
    <w:p w:rsidR="00286828" w:rsidRPr="008E0A7D" w:rsidRDefault="00286828" w:rsidP="00286828">
      <w:pPr>
        <w:jc w:val="both"/>
        <w:rPr>
          <w:b/>
          <w:lang w:val="hr-HR"/>
        </w:rPr>
      </w:pPr>
    </w:p>
    <w:p w:rsidR="00286828" w:rsidRDefault="00286828" w:rsidP="00286828">
      <w:pPr>
        <w:jc w:val="both"/>
        <w:rPr>
          <w:b/>
          <w:lang w:val="hr-HR"/>
        </w:rPr>
      </w:pPr>
      <w:r>
        <w:rPr>
          <w:b/>
          <w:lang w:val="hr-HR"/>
        </w:rPr>
        <w:t xml:space="preserve">           </w:t>
      </w:r>
      <w:r>
        <w:rPr>
          <w:b/>
        </w:rPr>
        <w:t xml:space="preserve"> </w:t>
      </w:r>
      <w:r>
        <w:rPr>
          <w:b/>
          <w:lang w:val="hr-HR"/>
        </w:rPr>
        <w:t>Анализом предходно датих података можемо констатовати следеће:</w:t>
      </w:r>
    </w:p>
    <w:p w:rsidR="00286828" w:rsidRPr="008E0A7D" w:rsidRDefault="00286828" w:rsidP="00286828">
      <w:pPr>
        <w:jc w:val="both"/>
        <w:rPr>
          <w:b/>
          <w:lang w:val="hr-HR"/>
        </w:rPr>
      </w:pPr>
    </w:p>
    <w:p w:rsidR="00286828" w:rsidRPr="000F61B5" w:rsidRDefault="00286828" w:rsidP="00286828">
      <w:pPr>
        <w:jc w:val="both"/>
        <w:rPr>
          <w:lang w:val="sr-Cyrl-BA"/>
        </w:rPr>
      </w:pPr>
      <w:r w:rsidRPr="000F61B5">
        <w:rPr>
          <w:lang w:val="hr-HR"/>
        </w:rPr>
        <w:t xml:space="preserve">      </w:t>
      </w:r>
      <w:r w:rsidRPr="000F61B5">
        <w:t xml:space="preserve">         </w:t>
      </w:r>
      <w:r w:rsidRPr="000F61B5">
        <w:rPr>
          <w:lang w:val="hr-HR"/>
        </w:rPr>
        <w:t>Цијена паркирања</w:t>
      </w:r>
      <w:r w:rsidRPr="000F61B5">
        <w:rPr>
          <w:lang w:val="sr-Cyrl-CS"/>
        </w:rPr>
        <w:t>,</w:t>
      </w:r>
      <w:r w:rsidRPr="000F61B5">
        <w:rPr>
          <w:lang w:val="hr-HR"/>
        </w:rPr>
        <w:t xml:space="preserve"> која </w:t>
      </w:r>
      <w:r w:rsidRPr="000F61B5">
        <w:rPr>
          <w:lang w:val="sr-Cyrl-BA"/>
        </w:rPr>
        <w:t xml:space="preserve">првенствено </w:t>
      </w:r>
      <w:r w:rsidRPr="000F61B5">
        <w:rPr>
          <w:lang w:val="hr-HR"/>
        </w:rPr>
        <w:t xml:space="preserve">представља и начин управљања </w:t>
      </w:r>
      <w:r w:rsidRPr="000F61B5">
        <w:rPr>
          <w:lang w:val="ru-RU"/>
        </w:rPr>
        <w:t>бројем захт</w:t>
      </w:r>
      <w:r w:rsidRPr="000F61B5">
        <w:rPr>
          <w:lang w:val="sr-Cyrl-CS"/>
        </w:rPr>
        <w:t>ј</w:t>
      </w:r>
      <w:r w:rsidRPr="000F61B5">
        <w:rPr>
          <w:lang w:val="ru-RU"/>
        </w:rPr>
        <w:t>ева</w:t>
      </w:r>
      <w:r w:rsidRPr="000F61B5">
        <w:rPr>
          <w:lang w:val="sr-Latn-BA"/>
        </w:rPr>
        <w:t xml:space="preserve"> </w:t>
      </w:r>
      <w:r w:rsidRPr="000F61B5">
        <w:rPr>
          <w:lang w:val="ru-RU"/>
        </w:rPr>
        <w:t>за паркирањем, просторном расподелом захт</w:t>
      </w:r>
      <w:r w:rsidRPr="000F61B5">
        <w:rPr>
          <w:lang w:val="sr-Cyrl-CS"/>
        </w:rPr>
        <w:t>ј</w:t>
      </w:r>
      <w:r w:rsidRPr="000F61B5">
        <w:rPr>
          <w:lang w:val="ru-RU"/>
        </w:rPr>
        <w:t>ева и искориштавањем</w:t>
      </w:r>
      <w:r w:rsidRPr="000F61B5">
        <w:rPr>
          <w:lang w:val="sr-Latn-BA"/>
        </w:rPr>
        <w:t xml:space="preserve"> </w:t>
      </w:r>
      <w:r w:rsidRPr="000F61B5">
        <w:rPr>
          <w:lang w:val="ru-RU"/>
        </w:rPr>
        <w:t>расположивог капацитета на улици</w:t>
      </w:r>
      <w:r w:rsidR="000F61B5">
        <w:rPr>
          <w:lang w:val="ru-RU"/>
        </w:rPr>
        <w:t>,</w:t>
      </w:r>
      <w:r w:rsidRPr="000F61B5">
        <w:rPr>
          <w:lang w:val="ru-RU"/>
        </w:rPr>
        <w:t xml:space="preserve"> односно паркиралиштима</w:t>
      </w:r>
      <w:r w:rsidRPr="000F61B5">
        <w:rPr>
          <w:lang w:val="sr-Cyrl-BA"/>
        </w:rPr>
        <w:t xml:space="preserve"> није дала позитивне резултате, односно није довела до равномјернијег кориштења паркинг простора.</w:t>
      </w:r>
    </w:p>
    <w:p w:rsidR="00286828" w:rsidRPr="00DE5175" w:rsidRDefault="00286828" w:rsidP="00286828">
      <w:pPr>
        <w:jc w:val="both"/>
        <w:rPr>
          <w:lang w:val="sr-Cyrl-BA"/>
        </w:rPr>
      </w:pPr>
      <w:r>
        <w:rPr>
          <w:lang w:val="sr-Cyrl-BA"/>
        </w:rPr>
        <w:t>Ово се нарочито односи на</w:t>
      </w:r>
      <w:r w:rsidRPr="003E67BF">
        <w:rPr>
          <w:lang w:val="sr-Cyrl-BA"/>
        </w:rPr>
        <w:t xml:space="preserve"> </w:t>
      </w:r>
      <w:r>
        <w:rPr>
          <w:lang w:val="sr-Cyrl-BA"/>
        </w:rPr>
        <w:t xml:space="preserve">улице ужег центра града (Трг краља Петра </w:t>
      </w:r>
      <w:r>
        <w:t xml:space="preserve">I </w:t>
      </w:r>
      <w:r>
        <w:rPr>
          <w:lang w:val="sr-Cyrl-BA"/>
        </w:rPr>
        <w:t>Карађорђевића, Вука Кара</w:t>
      </w:r>
      <w:r w:rsidR="00057325">
        <w:rPr>
          <w:lang w:val="sr-Cyrl-BA"/>
        </w:rPr>
        <w:t>џ</w:t>
      </w:r>
      <w:r>
        <w:rPr>
          <w:lang w:val="sr-Cyrl-BA"/>
        </w:rPr>
        <w:t>ића, Карађорђева, Меше Селимовић</w:t>
      </w:r>
      <w:r w:rsidR="00057325">
        <w:rPr>
          <w:lang w:val="sr-Cyrl-BA"/>
        </w:rPr>
        <w:t>а</w:t>
      </w:r>
      <w:r>
        <w:rPr>
          <w:lang w:val="sr-Cyrl-BA"/>
        </w:rPr>
        <w:t xml:space="preserve">, Николе Тесле) гдје не долази до смањења попуњености у односу на улице у непосредној близини гдје је цијена паркирања дупло мања и где постоји могућност дневног паркирања по цијени од </w:t>
      </w:r>
      <w:r>
        <w:rPr>
          <w:lang w:val="ru-RU"/>
        </w:rPr>
        <w:t>2,00</w:t>
      </w:r>
      <w:r w:rsidR="00057325">
        <w:rPr>
          <w:lang w:val="ru-RU"/>
        </w:rPr>
        <w:t xml:space="preserve"> </w:t>
      </w:r>
      <w:r>
        <w:rPr>
          <w:lang w:val="ru-RU"/>
        </w:rPr>
        <w:t>КМ</w:t>
      </w:r>
      <w:r w:rsidR="000F61B5">
        <w:rPr>
          <w:lang w:val="sr-Cyrl-BA"/>
        </w:rPr>
        <w:t xml:space="preserve">. </w:t>
      </w:r>
      <w:r>
        <w:rPr>
          <w:lang w:val="ru-RU"/>
        </w:rPr>
        <w:t>Из анализа ко</w:t>
      </w:r>
      <w:r w:rsidR="000F61B5">
        <w:rPr>
          <w:lang w:val="ru-RU"/>
        </w:rPr>
        <w:t xml:space="preserve">је смо спровели у 2018. години </w:t>
      </w:r>
      <w:r>
        <w:rPr>
          <w:lang w:val="ru-RU"/>
        </w:rPr>
        <w:t>имамо показатеље да</w:t>
      </w:r>
      <w:r w:rsidR="000F61B5">
        <w:rPr>
          <w:lang w:val="ru-RU"/>
        </w:rPr>
        <w:t xml:space="preserve"> је</w:t>
      </w:r>
      <w:r>
        <w:rPr>
          <w:lang w:val="ru-RU"/>
        </w:rPr>
        <w:t xml:space="preserve"> и у најударнијим терминима од 11 до 13 часова</w:t>
      </w:r>
      <w:r w:rsidR="00057325">
        <w:rPr>
          <w:lang w:val="ru-RU"/>
        </w:rPr>
        <w:t>,</w:t>
      </w:r>
      <w:r>
        <w:rPr>
          <w:lang w:val="ru-RU"/>
        </w:rPr>
        <w:t xml:space="preserve"> паркинг у ужем центру града попуњен  95%, а након 1</w:t>
      </w:r>
      <w:r>
        <w:rPr>
          <w:lang w:val="sr-Latn-BA"/>
        </w:rPr>
        <w:t>6</w:t>
      </w:r>
      <w:r>
        <w:rPr>
          <w:lang w:val="ru-RU"/>
        </w:rPr>
        <w:t xml:space="preserve"> часова тај проценат пада испод 45%, док у ширем центру града попуњеност паркинга </w:t>
      </w:r>
      <w:r>
        <w:rPr>
          <w:lang w:val="sr-Cyrl-BA"/>
        </w:rPr>
        <w:t xml:space="preserve">у интервалу </w:t>
      </w:r>
      <w:r>
        <w:rPr>
          <w:lang w:val="ru-RU"/>
        </w:rPr>
        <w:t>од 11 до 13 часова износи 60%.</w:t>
      </w:r>
    </w:p>
    <w:p w:rsidR="00286828" w:rsidRDefault="00286828" w:rsidP="00286828">
      <w:pPr>
        <w:ind w:firstLine="720"/>
        <w:jc w:val="both"/>
        <w:rPr>
          <w:lang w:val="sr-Cyrl-BA"/>
        </w:rPr>
      </w:pPr>
      <w:r w:rsidRPr="008E0A7D">
        <w:rPr>
          <w:lang w:val="sr-Cyrl-CS"/>
        </w:rPr>
        <w:t>На основу досадашњег искуства, један од проблема је тај што велики број паркинг места на уличним фронтовима заузимају станари централне зоне, међу којима има и оних који у току цијелог дана не напуштају паркинг мјесто</w:t>
      </w:r>
      <w:r w:rsidR="00182A2A">
        <w:rPr>
          <w:lang w:val="sr-Cyrl-CS"/>
        </w:rPr>
        <w:t>,</w:t>
      </w:r>
      <w:r w:rsidRPr="008E0A7D">
        <w:rPr>
          <w:lang w:val="sr-Cyrl-CS"/>
        </w:rPr>
        <w:t xml:space="preserve"> чиме смањују број расположивих паркинг мјеста. Интензивна изградња стамбених зграда у централној зони свакодневно ствара потребу за новим издавањима повлаштених карата за станаре, што додатно смањује капацит</w:t>
      </w:r>
      <w:r>
        <w:rPr>
          <w:lang w:val="sr-Cyrl-CS"/>
        </w:rPr>
        <w:t>ете постојећих паркинг простора</w:t>
      </w:r>
      <w:r w:rsidRPr="008E0A7D">
        <w:rPr>
          <w:lang w:val="sr-Cyrl-CS"/>
        </w:rPr>
        <w:t>.</w:t>
      </w:r>
      <w:r>
        <w:rPr>
          <w:lang w:val="sr-Cyrl-CS"/>
        </w:rPr>
        <w:t xml:space="preserve"> </w:t>
      </w:r>
      <w:r w:rsidRPr="008E0A7D">
        <w:rPr>
          <w:lang w:val="ru-RU"/>
        </w:rPr>
        <w:t>Стан</w:t>
      </w:r>
      <w:r w:rsidRPr="008E0A7D">
        <w:rPr>
          <w:lang w:val="sr-Cyrl-CS"/>
        </w:rPr>
        <w:t>ари</w:t>
      </w:r>
      <w:r w:rsidRPr="008E0A7D">
        <w:rPr>
          <w:lang w:val="ru-RU"/>
        </w:rPr>
        <w:t>, као што је већ наглашено, представљају категорију корисника која мора да се паркира у центру града</w:t>
      </w:r>
      <w:r w:rsidRPr="008E0A7D">
        <w:rPr>
          <w:lang w:val="sr-Cyrl-CS"/>
        </w:rPr>
        <w:t>, односно тамо гдје и станује.</w:t>
      </w:r>
      <w:r>
        <w:rPr>
          <w:lang w:val="sr-Cyrl-CS"/>
        </w:rPr>
        <w:t xml:space="preserve"> </w:t>
      </w:r>
      <w:r w:rsidRPr="008E0A7D">
        <w:rPr>
          <w:lang w:val="sr-Cyrl-CS"/>
        </w:rPr>
        <w:t>Тренутно најкритичније је стање у улицама Гаврила Принципа</w:t>
      </w:r>
      <w:r w:rsidRPr="008E0A7D">
        <w:rPr>
          <w:lang w:val="sr-Latn-CS"/>
        </w:rPr>
        <w:t xml:space="preserve">, </w:t>
      </w:r>
      <w:r w:rsidRPr="008E0A7D">
        <w:rPr>
          <w:lang w:val="sr-Cyrl-CS"/>
        </w:rPr>
        <w:t>Светог Саве</w:t>
      </w:r>
      <w:r w:rsidRPr="008E0A7D">
        <w:rPr>
          <w:lang w:val="sr-Latn-CS"/>
        </w:rPr>
        <w:t xml:space="preserve"> </w:t>
      </w:r>
      <w:r>
        <w:rPr>
          <w:lang w:val="sr-Cyrl-CS"/>
        </w:rPr>
        <w:t xml:space="preserve">и Његошевој, </w:t>
      </w:r>
      <w:r w:rsidR="00182A2A">
        <w:rPr>
          <w:lang w:val="sr-Cyrl-CS"/>
        </w:rPr>
        <w:t xml:space="preserve">као и </w:t>
      </w:r>
      <w:r>
        <w:rPr>
          <w:lang w:val="sr-Cyrl-CS"/>
        </w:rPr>
        <w:t>Нушићевој</w:t>
      </w:r>
      <w:r w:rsidR="00182A2A">
        <w:rPr>
          <w:lang w:val="sr-Cyrl-CS"/>
        </w:rPr>
        <w:t>,</w:t>
      </w:r>
      <w:r>
        <w:rPr>
          <w:lang w:val="sr-Cyrl-CS"/>
        </w:rPr>
        <w:t xml:space="preserve"> гдје је паркинг током цијелог дана попу</w:t>
      </w:r>
      <w:r w:rsidR="00182A2A">
        <w:rPr>
          <w:lang w:val="sr-Cyrl-CS"/>
        </w:rPr>
        <w:t>њ</w:t>
      </w:r>
      <w:r>
        <w:rPr>
          <w:lang w:val="sr-Cyrl-CS"/>
        </w:rPr>
        <w:t xml:space="preserve">ен </w:t>
      </w:r>
      <w:r w:rsidR="000F61B5">
        <w:rPr>
          <w:lang w:val="sr-Cyrl-CS"/>
        </w:rPr>
        <w:t xml:space="preserve"> са </w:t>
      </w:r>
      <w:r>
        <w:rPr>
          <w:lang w:val="sr-Cyrl-CS"/>
        </w:rPr>
        <w:t>93%</w:t>
      </w:r>
      <w:r w:rsidR="000F61B5">
        <w:rPr>
          <w:lang w:val="sr-Cyrl-CS"/>
        </w:rPr>
        <w:t xml:space="preserve"> капацитета</w:t>
      </w:r>
      <w:r>
        <w:rPr>
          <w:lang w:val="sr-Cyrl-CS"/>
        </w:rPr>
        <w:t>.</w:t>
      </w:r>
      <w:r w:rsidRPr="008E0A7D">
        <w:rPr>
          <w:lang w:val="sr-Cyrl-BA"/>
        </w:rPr>
        <w:t xml:space="preserve"> </w:t>
      </w:r>
    </w:p>
    <w:p w:rsidR="00286828" w:rsidRDefault="00286828" w:rsidP="00286828">
      <w:pPr>
        <w:ind w:firstLine="720"/>
        <w:jc w:val="both"/>
        <w:rPr>
          <w:lang w:val="sr-Cyrl-BA"/>
        </w:rPr>
      </w:pPr>
    </w:p>
    <w:p w:rsidR="00286828" w:rsidRDefault="00286828" w:rsidP="00286828">
      <w:pPr>
        <w:ind w:firstLine="720"/>
        <w:jc w:val="both"/>
        <w:rPr>
          <w:lang w:val="sr-Cyrl-BA"/>
        </w:rPr>
      </w:pPr>
    </w:p>
    <w:p w:rsidR="00286828" w:rsidRPr="00286828" w:rsidRDefault="00286828" w:rsidP="00286828">
      <w:pPr>
        <w:ind w:firstLine="720"/>
        <w:jc w:val="both"/>
        <w:rPr>
          <w:lang w:val="sr-Cyrl-CS"/>
        </w:rPr>
      </w:pPr>
      <w:r w:rsidRPr="00286828">
        <w:rPr>
          <w:lang w:val="sr-Cyrl-BA"/>
        </w:rPr>
        <w:lastRenderedPageBreak/>
        <w:t xml:space="preserve"> </w:t>
      </w:r>
      <w:r w:rsidRPr="00286828">
        <w:rPr>
          <w:lang w:val="sr-Cyrl-CS"/>
        </w:rPr>
        <w:t xml:space="preserve">У циљу побољшања услова паркирања, а обзиром да су се асфалтирањем паркинга иза </w:t>
      </w:r>
      <w:r w:rsidR="00182A2A">
        <w:rPr>
          <w:lang w:val="sr-Cyrl-CS"/>
        </w:rPr>
        <w:t>с</w:t>
      </w:r>
      <w:r w:rsidRPr="00286828">
        <w:rPr>
          <w:lang w:val="sr-Cyrl-CS"/>
        </w:rPr>
        <w:t>тарог небодера у Улици Милоша Црњанског стекли услови, дај</w:t>
      </w:r>
      <w:r w:rsidR="00182A2A">
        <w:rPr>
          <w:lang w:val="sr-Cyrl-CS"/>
        </w:rPr>
        <w:t>у</w:t>
      </w:r>
      <w:r w:rsidRPr="00286828">
        <w:rPr>
          <w:lang w:val="sr-Cyrl-CS"/>
        </w:rPr>
        <w:t xml:space="preserve"> се сљедећи</w:t>
      </w:r>
      <w:r w:rsidR="00182A2A">
        <w:rPr>
          <w:lang w:val="sr-Cyrl-CS"/>
        </w:rPr>
        <w:t xml:space="preserve"> приједлози</w:t>
      </w:r>
      <w:r w:rsidRPr="00286828">
        <w:rPr>
          <w:lang w:val="sr-Cyrl-CS"/>
        </w:rPr>
        <w:t>:</w:t>
      </w:r>
    </w:p>
    <w:p w:rsidR="00286828" w:rsidRPr="008E0A7D" w:rsidRDefault="00286828" w:rsidP="00286828">
      <w:pPr>
        <w:ind w:firstLine="720"/>
        <w:jc w:val="both"/>
        <w:rPr>
          <w:lang w:val="sr-Cyrl-CS"/>
        </w:rPr>
      </w:pPr>
    </w:p>
    <w:p w:rsidR="00286828" w:rsidRPr="00B15618" w:rsidRDefault="00286828" w:rsidP="00B15618">
      <w:pPr>
        <w:ind w:firstLine="720"/>
        <w:jc w:val="both"/>
        <w:rPr>
          <w:b/>
          <w:lang w:val="sr-Cyrl-CS"/>
        </w:rPr>
      </w:pPr>
      <w:r w:rsidRPr="008E0A7D">
        <w:rPr>
          <w:b/>
          <w:lang w:val="sr-Cyrl-CS"/>
        </w:rPr>
        <w:t>ПРИЈЕДЛОГ</w:t>
      </w:r>
      <w:r>
        <w:rPr>
          <w:b/>
          <w:lang w:val="sr-Latn-BA"/>
        </w:rPr>
        <w:t xml:space="preserve"> </w:t>
      </w:r>
      <w:r>
        <w:rPr>
          <w:b/>
        </w:rPr>
        <w:t>1</w:t>
      </w:r>
      <w:r>
        <w:rPr>
          <w:b/>
          <w:lang w:val="sr-Cyrl-CS"/>
        </w:rPr>
        <w:t xml:space="preserve">: </w:t>
      </w:r>
      <w:r w:rsidR="00B15618">
        <w:rPr>
          <w:b/>
          <w:lang w:val="sr-Cyrl-CS"/>
        </w:rPr>
        <w:t>На наведеној локацији о</w:t>
      </w:r>
      <w:r w:rsidRPr="008E0A7D">
        <w:rPr>
          <w:b/>
          <w:lang w:val="sr-Cyrl-CS"/>
        </w:rPr>
        <w:t>могућити примјену полуаутоматског јавног паркинг система</w:t>
      </w:r>
      <w:r w:rsidR="00182A2A">
        <w:rPr>
          <w:b/>
          <w:lang w:val="sr-Cyrl-CS"/>
        </w:rPr>
        <w:t>,</w:t>
      </w:r>
      <w:r w:rsidRPr="008E0A7D">
        <w:rPr>
          <w:b/>
          <w:lang w:val="sr-Cyrl-CS"/>
        </w:rPr>
        <w:t xml:space="preserve"> постављањем кућице са неопходном опремом за контролу - наплату паркирања</w:t>
      </w:r>
      <w:r w:rsidR="00B15618">
        <w:rPr>
          <w:b/>
          <w:lang w:val="sr-Cyrl-CS"/>
        </w:rPr>
        <w:t>-</w:t>
      </w:r>
      <w:r w:rsidRPr="008E0A7D">
        <w:rPr>
          <w:b/>
          <w:lang w:val="sr-Cyrl-CS"/>
        </w:rPr>
        <w:t xml:space="preserve"> рампе, индуковане петље</w:t>
      </w:r>
      <w:r w:rsidR="00182A2A">
        <w:rPr>
          <w:b/>
          <w:lang w:val="sr-Cyrl-CS"/>
        </w:rPr>
        <w:t xml:space="preserve"> са</w:t>
      </w:r>
      <w:r w:rsidRPr="008E0A7D">
        <w:rPr>
          <w:b/>
          <w:lang w:val="sr-Cyrl-CS"/>
        </w:rPr>
        <w:t xml:space="preserve"> дисплејом за обавјештавање о броју слободних паркинг мјест</w:t>
      </w:r>
      <w:r>
        <w:rPr>
          <w:b/>
          <w:lang w:val="sr-Cyrl-CS"/>
        </w:rPr>
        <w:t>а и др.</w:t>
      </w:r>
      <w:r w:rsidRPr="00C24AAF">
        <w:rPr>
          <w:b/>
          <w:lang w:val="sr-Cyrl-BA"/>
        </w:rPr>
        <w:t xml:space="preserve"> </w:t>
      </w:r>
      <w:r>
        <w:rPr>
          <w:b/>
          <w:lang w:val="sr-Cyrl-BA"/>
        </w:rPr>
        <w:t>Поред стварања повољнијих услова за паркирање, отвара се могућност и изградњ</w:t>
      </w:r>
      <w:r w:rsidR="00B15618">
        <w:rPr>
          <w:b/>
          <w:lang w:val="sr-Cyrl-BA"/>
        </w:rPr>
        <w:t>е</w:t>
      </w:r>
      <w:r>
        <w:rPr>
          <w:b/>
          <w:lang w:val="sr-Cyrl-BA"/>
        </w:rPr>
        <w:t xml:space="preserve"> монтажне гараже чиме би се повећао број паркинг мјеста за око 70%.</w:t>
      </w:r>
    </w:p>
    <w:p w:rsidR="00286828" w:rsidRPr="007D2641" w:rsidRDefault="00286828" w:rsidP="00286828">
      <w:pPr>
        <w:jc w:val="both"/>
        <w:rPr>
          <w:lang w:val="sr-Cyrl-BA"/>
        </w:rPr>
      </w:pPr>
    </w:p>
    <w:p w:rsidR="00286828" w:rsidRPr="008E0A7D" w:rsidRDefault="00286828" w:rsidP="00286828">
      <w:pPr>
        <w:ind w:firstLine="720"/>
        <w:jc w:val="both"/>
        <w:rPr>
          <w:lang w:val="sr-Cyrl-CS"/>
        </w:rPr>
      </w:pPr>
      <w:r w:rsidRPr="008E0A7D">
        <w:rPr>
          <w:b/>
          <w:lang w:val="sr-Cyrl-CS"/>
        </w:rPr>
        <w:t>ПРИЈЕДЛОГ</w:t>
      </w:r>
      <w:r>
        <w:rPr>
          <w:b/>
          <w:lang w:val="sr-Latn-BA"/>
        </w:rPr>
        <w:t xml:space="preserve"> </w:t>
      </w:r>
      <w:r>
        <w:rPr>
          <w:b/>
        </w:rPr>
        <w:t>2</w:t>
      </w:r>
      <w:r>
        <w:rPr>
          <w:b/>
          <w:lang w:val="sr-Latn-BA"/>
        </w:rPr>
        <w:t xml:space="preserve">: </w:t>
      </w:r>
      <w:r w:rsidRPr="008E0A7D">
        <w:rPr>
          <w:b/>
          <w:lang w:val="sr-Cyrl-CS"/>
        </w:rPr>
        <w:t>Уређење простора (</w:t>
      </w:r>
      <w:r w:rsidR="00B15618">
        <w:rPr>
          <w:b/>
          <w:lang w:val="sr-Cyrl-CS"/>
        </w:rPr>
        <w:t>покретање</w:t>
      </w:r>
      <w:r w:rsidRPr="008E0A7D">
        <w:rPr>
          <w:b/>
          <w:lang w:val="sr-Cyrl-CS"/>
        </w:rPr>
        <w:t xml:space="preserve"> процедур</w:t>
      </w:r>
      <w:r w:rsidR="00B15618">
        <w:rPr>
          <w:b/>
          <w:lang w:val="sr-Cyrl-CS"/>
        </w:rPr>
        <w:t>е</w:t>
      </w:r>
      <w:r w:rsidRPr="008E0A7D">
        <w:rPr>
          <w:b/>
          <w:lang w:val="sr-Cyrl-CS"/>
        </w:rPr>
        <w:t xml:space="preserve"> откупа предметн</w:t>
      </w:r>
      <w:r w:rsidRPr="008E0A7D">
        <w:rPr>
          <w:b/>
          <w:lang w:val="sr-Cyrl-BA"/>
        </w:rPr>
        <w:t>их</w:t>
      </w:r>
      <w:r w:rsidRPr="008E0A7D">
        <w:rPr>
          <w:b/>
          <w:lang w:val="sr-Cyrl-CS"/>
        </w:rPr>
        <w:t xml:space="preserve"> парцел</w:t>
      </w:r>
      <w:r w:rsidRPr="008E0A7D">
        <w:rPr>
          <w:b/>
          <w:lang w:val="sr-Cyrl-BA"/>
        </w:rPr>
        <w:t>а</w:t>
      </w:r>
      <w:r w:rsidRPr="008E0A7D">
        <w:rPr>
          <w:b/>
          <w:lang w:val="sr-Cyrl-CS"/>
        </w:rPr>
        <w:t xml:space="preserve">) </w:t>
      </w:r>
      <w:r>
        <w:rPr>
          <w:b/>
          <w:lang w:val="ru-RU"/>
        </w:rPr>
        <w:t>у Улици 27. Марта</w:t>
      </w:r>
      <w:r w:rsidR="00B15618">
        <w:rPr>
          <w:b/>
          <w:lang w:val="ru-RU"/>
        </w:rPr>
        <w:t>,</w:t>
      </w:r>
      <w:r w:rsidRPr="008E0A7D">
        <w:rPr>
          <w:b/>
          <w:lang w:val="ru-RU"/>
        </w:rPr>
        <w:t xml:space="preserve"> </w:t>
      </w:r>
      <w:r w:rsidR="00B15618">
        <w:rPr>
          <w:b/>
          <w:lang w:val="sr-Cyrl-CS"/>
        </w:rPr>
        <w:t xml:space="preserve">гдје је </w:t>
      </w:r>
      <w:r w:rsidRPr="008E0A7D">
        <w:rPr>
          <w:b/>
          <w:lang w:val="sr-Cyrl-CS"/>
        </w:rPr>
        <w:t xml:space="preserve">по регулационом плану предвиђена </w:t>
      </w:r>
      <w:r w:rsidR="00B15618">
        <w:rPr>
          <w:b/>
          <w:lang w:val="sr-Cyrl-CS"/>
        </w:rPr>
        <w:t xml:space="preserve">изградња </w:t>
      </w:r>
      <w:r w:rsidRPr="008E0A7D">
        <w:rPr>
          <w:b/>
          <w:lang w:val="sr-Cyrl-CS"/>
        </w:rPr>
        <w:t>паркинг гараж</w:t>
      </w:r>
      <w:r w:rsidR="00B15618">
        <w:rPr>
          <w:b/>
          <w:lang w:val="sr-Cyrl-CS"/>
        </w:rPr>
        <w:t>е</w:t>
      </w:r>
      <w:r w:rsidRPr="008E0A7D">
        <w:rPr>
          <w:b/>
          <w:lang w:val="sr-Cyrl-CS"/>
        </w:rPr>
        <w:t xml:space="preserve"> и омогућити паркирање </w:t>
      </w:r>
      <w:r w:rsidR="00B15618">
        <w:rPr>
          <w:b/>
          <w:lang w:val="sr-Cyrl-CS"/>
        </w:rPr>
        <w:t>у</w:t>
      </w:r>
      <w:r w:rsidRPr="008E0A7D">
        <w:rPr>
          <w:b/>
          <w:lang w:val="sr-Cyrl-CS"/>
        </w:rPr>
        <w:t xml:space="preserve"> </w:t>
      </w:r>
      <w:r w:rsidR="00B15618">
        <w:rPr>
          <w:b/>
          <w:lang w:val="sr-Cyrl-CS"/>
        </w:rPr>
        <w:t>њој</w:t>
      </w:r>
      <w:r w:rsidRPr="008E0A7D">
        <w:rPr>
          <w:b/>
          <w:lang w:val="sr-Cyrl-CS"/>
        </w:rPr>
        <w:t xml:space="preserve"> (ставити у постојећи систем контроле и наплате паркирања), </w:t>
      </w:r>
      <w:r w:rsidR="00B15618">
        <w:rPr>
          <w:b/>
          <w:lang w:val="sr-Cyrl-CS"/>
        </w:rPr>
        <w:t>чиме би се</w:t>
      </w:r>
      <w:r w:rsidRPr="008E0A7D">
        <w:rPr>
          <w:b/>
          <w:lang w:val="sr-Cyrl-CS"/>
        </w:rPr>
        <w:t>ријешио дио проблема везаног за паркирање</w:t>
      </w:r>
      <w:r>
        <w:rPr>
          <w:b/>
          <w:lang w:val="ru-RU"/>
        </w:rPr>
        <w:t>.</w:t>
      </w:r>
    </w:p>
    <w:p w:rsidR="00286828" w:rsidRDefault="00286828" w:rsidP="00286828">
      <w:pPr>
        <w:ind w:firstLine="720"/>
        <w:jc w:val="both"/>
        <w:rPr>
          <w:b/>
          <w:lang w:val="sr-Latn-BA"/>
        </w:rPr>
      </w:pPr>
      <w:r w:rsidRPr="008E0A7D">
        <w:rPr>
          <w:b/>
          <w:lang w:val="ru-RU"/>
        </w:rPr>
        <w:t>Такође, у Улици Светог Саве</w:t>
      </w:r>
      <w:r w:rsidRPr="008E0A7D">
        <w:rPr>
          <w:b/>
          <w:lang w:val="sr-Cyrl-CS"/>
        </w:rPr>
        <w:t>, на</w:t>
      </w:r>
      <w:r w:rsidRPr="008E0A7D">
        <w:rPr>
          <w:b/>
          <w:lang w:val="ru-RU"/>
        </w:rPr>
        <w:t xml:space="preserve"> простору иза </w:t>
      </w:r>
      <w:r w:rsidRPr="008E0A7D">
        <w:rPr>
          <w:b/>
          <w:lang w:val="sr-Latn-CS"/>
        </w:rPr>
        <w:t>„</w:t>
      </w:r>
      <w:r w:rsidRPr="008E0A7D">
        <w:rPr>
          <w:b/>
          <w:lang w:val="ru-RU"/>
        </w:rPr>
        <w:t>Цик-Цака</w:t>
      </w:r>
      <w:r w:rsidRPr="008E0A7D">
        <w:rPr>
          <w:b/>
          <w:lang w:val="sr-Latn-CS"/>
        </w:rPr>
        <w:t>“,</w:t>
      </w:r>
      <w:r w:rsidRPr="008E0A7D">
        <w:rPr>
          <w:b/>
          <w:lang w:val="sr-Cyrl-CS"/>
        </w:rPr>
        <w:t xml:space="preserve"> гдје је по регулационом плану предвиђена паркинг гаража</w:t>
      </w:r>
      <w:r w:rsidRPr="008E0A7D">
        <w:rPr>
          <w:b/>
          <w:lang w:val="sr-Cyrl-BA"/>
        </w:rPr>
        <w:t>,</w:t>
      </w:r>
      <w:r w:rsidRPr="008E0A7D">
        <w:rPr>
          <w:b/>
          <w:lang w:val="sr-Cyrl-CS"/>
        </w:rPr>
        <w:t xml:space="preserve"> </w:t>
      </w:r>
      <w:r w:rsidRPr="008E0A7D">
        <w:rPr>
          <w:b/>
          <w:lang w:val="ru-RU"/>
        </w:rPr>
        <w:t>потребно је</w:t>
      </w:r>
      <w:r w:rsidRPr="008E0A7D">
        <w:rPr>
          <w:b/>
          <w:lang w:val="sr-Cyrl-CS"/>
        </w:rPr>
        <w:t xml:space="preserve"> (након анализе стварног стања на терену) покренути поступак уређења и увођења </w:t>
      </w:r>
      <w:r w:rsidRPr="008E0A7D">
        <w:rPr>
          <w:b/>
          <w:lang w:val="ru-RU"/>
        </w:rPr>
        <w:t>система ко</w:t>
      </w:r>
      <w:r w:rsidRPr="008E0A7D">
        <w:rPr>
          <w:b/>
          <w:lang w:val="sr-Cyrl-CS"/>
        </w:rPr>
        <w:t>нтроле</w:t>
      </w:r>
      <w:r w:rsidRPr="008E0A7D">
        <w:rPr>
          <w:b/>
          <w:lang w:val="ru-RU"/>
        </w:rPr>
        <w:t xml:space="preserve"> и наплате паркирања</w:t>
      </w:r>
      <w:r>
        <w:rPr>
          <w:b/>
          <w:lang w:val="sr-Cyrl-CS"/>
        </w:rPr>
        <w:t>. В</w:t>
      </w:r>
      <w:r w:rsidRPr="008E0A7D">
        <w:rPr>
          <w:b/>
          <w:lang w:val="sr-Cyrl-CS"/>
        </w:rPr>
        <w:t>елики број монтажних гаража није у функцији (служе као магацини), а и оне које су функцији неприступачне су ус</w:t>
      </w:r>
      <w:r w:rsidR="00297485">
        <w:rPr>
          <w:b/>
          <w:lang w:val="sr-Cyrl-CS"/>
        </w:rPr>
        <w:t>љ</w:t>
      </w:r>
      <w:r w:rsidRPr="008E0A7D">
        <w:rPr>
          <w:b/>
          <w:lang w:val="sr-Cyrl-CS"/>
        </w:rPr>
        <w:t>ед непрописно паркираних возила</w:t>
      </w:r>
      <w:r w:rsidR="00297485">
        <w:rPr>
          <w:b/>
          <w:lang w:val="sr-Cyrl-CS"/>
        </w:rPr>
        <w:t>.</w:t>
      </w:r>
      <w:r w:rsidRPr="008E0A7D">
        <w:rPr>
          <w:b/>
          <w:lang w:val="sr-Cyrl-BA"/>
        </w:rPr>
        <w:t xml:space="preserve"> </w:t>
      </w:r>
      <w:r w:rsidR="00297485">
        <w:rPr>
          <w:b/>
          <w:lang w:val="sr-Cyrl-BA"/>
        </w:rPr>
        <w:t>Н</w:t>
      </w:r>
      <w:r w:rsidRPr="008E0A7D">
        <w:rPr>
          <w:b/>
          <w:lang w:val="sr-Cyrl-BA"/>
        </w:rPr>
        <w:t>ајвећи проблем</w:t>
      </w:r>
      <w:r w:rsidR="00297485">
        <w:rPr>
          <w:b/>
          <w:lang w:val="sr-Cyrl-BA"/>
        </w:rPr>
        <w:t xml:space="preserve"> је што</w:t>
      </w:r>
      <w:r w:rsidRPr="008E0A7D">
        <w:rPr>
          <w:b/>
          <w:lang w:val="sr-Cyrl-BA"/>
        </w:rPr>
        <w:t xml:space="preserve"> не постоје слободни противпожарни путеви.</w:t>
      </w:r>
      <w:r w:rsidRPr="008E0A7D">
        <w:rPr>
          <w:b/>
          <w:lang w:val="sr-Cyrl-CS"/>
        </w:rPr>
        <w:t xml:space="preserve"> Уклањањем монтажних гаража, уређењем предметне површине и системске контроле паркирања</w:t>
      </w:r>
      <w:r w:rsidR="00297485">
        <w:rPr>
          <w:b/>
          <w:lang w:val="sr-Cyrl-CS"/>
        </w:rPr>
        <w:t>,</w:t>
      </w:r>
      <w:r w:rsidRPr="008E0A7D">
        <w:rPr>
          <w:b/>
          <w:lang w:val="sr-Cyrl-CS"/>
        </w:rPr>
        <w:t xml:space="preserve"> добио би се један уређен паркинг простор </w:t>
      </w:r>
      <w:r w:rsidR="00297485">
        <w:rPr>
          <w:b/>
          <w:lang w:val="sr-Cyrl-CS"/>
        </w:rPr>
        <w:t>што би</w:t>
      </w:r>
      <w:r w:rsidRPr="008E0A7D">
        <w:rPr>
          <w:b/>
          <w:lang w:val="sr-Cyrl-CS"/>
        </w:rPr>
        <w:t xml:space="preserve"> највише </w:t>
      </w:r>
      <w:r w:rsidR="00297485">
        <w:rPr>
          <w:b/>
          <w:lang w:val="sr-Cyrl-CS"/>
        </w:rPr>
        <w:t>користило</w:t>
      </w:r>
      <w:r w:rsidRPr="008E0A7D">
        <w:rPr>
          <w:b/>
          <w:lang w:val="sr-Cyrl-CS"/>
        </w:rPr>
        <w:t xml:space="preserve"> станари</w:t>
      </w:r>
      <w:r w:rsidR="00297485">
        <w:rPr>
          <w:b/>
          <w:lang w:val="sr-Cyrl-CS"/>
        </w:rPr>
        <w:t>ма</w:t>
      </w:r>
      <w:r w:rsidRPr="008E0A7D">
        <w:rPr>
          <w:b/>
          <w:lang w:val="sr-Cyrl-CS"/>
        </w:rPr>
        <w:t xml:space="preserve"> стамбених зграда који гравитирају том простору.</w:t>
      </w:r>
    </w:p>
    <w:p w:rsidR="00286828" w:rsidRPr="007D2641" w:rsidRDefault="00286828" w:rsidP="007D2641">
      <w:pPr>
        <w:ind w:firstLine="720"/>
        <w:jc w:val="both"/>
        <w:rPr>
          <w:lang w:val="sr-Cyrl-BA"/>
        </w:rPr>
      </w:pPr>
      <w:r w:rsidRPr="008E0A7D">
        <w:rPr>
          <w:lang w:val="ru-RU"/>
        </w:rPr>
        <w:tab/>
      </w:r>
    </w:p>
    <w:p w:rsidR="00286828" w:rsidRPr="00695A6D" w:rsidRDefault="00286828" w:rsidP="00286828">
      <w:pPr>
        <w:ind w:firstLine="720"/>
        <w:jc w:val="both"/>
        <w:rPr>
          <w:b/>
          <w:lang w:val="sr-Cyrl-BA"/>
        </w:rPr>
      </w:pPr>
      <w:r w:rsidRPr="008E0A7D">
        <w:rPr>
          <w:b/>
          <w:lang w:val="sr-Cyrl-CS"/>
        </w:rPr>
        <w:t>ПРИЈЕДЛОГ</w:t>
      </w:r>
      <w:r>
        <w:rPr>
          <w:b/>
          <w:lang w:val="sr-Latn-BA"/>
        </w:rPr>
        <w:t xml:space="preserve"> </w:t>
      </w:r>
      <w:r>
        <w:rPr>
          <w:b/>
        </w:rPr>
        <w:t xml:space="preserve">3:  На </w:t>
      </w:r>
      <w:r>
        <w:rPr>
          <w:b/>
          <w:lang w:val="sr-Cyrl-BA"/>
        </w:rPr>
        <w:t xml:space="preserve"> паркиралишту иза РК „Емпориум“ и </w:t>
      </w:r>
      <w:r w:rsidR="00E72925">
        <w:rPr>
          <w:b/>
          <w:lang w:val="sr-Cyrl-BA"/>
        </w:rPr>
        <w:t>б</w:t>
      </w:r>
      <w:r>
        <w:rPr>
          <w:b/>
          <w:lang w:val="sr-Cyrl-BA"/>
        </w:rPr>
        <w:t>иблиотеке, поред стварања повољнијих услова за паркирање, отвара се могућност и изградњ</w:t>
      </w:r>
      <w:r w:rsidR="00297485">
        <w:rPr>
          <w:b/>
          <w:lang w:val="sr-Cyrl-BA"/>
        </w:rPr>
        <w:t xml:space="preserve">е </w:t>
      </w:r>
      <w:r>
        <w:rPr>
          <w:b/>
          <w:lang w:val="sr-Cyrl-BA"/>
        </w:rPr>
        <w:t>монтажне гараже</w:t>
      </w:r>
      <w:r w:rsidR="00E72925">
        <w:rPr>
          <w:b/>
          <w:lang w:val="sr-Cyrl-BA"/>
        </w:rPr>
        <w:t>,</w:t>
      </w:r>
      <w:r>
        <w:rPr>
          <w:b/>
          <w:lang w:val="sr-Cyrl-BA"/>
        </w:rPr>
        <w:t xml:space="preserve"> чиме би се повећао број паркинг мјеста за око 80%. </w:t>
      </w:r>
    </w:p>
    <w:p w:rsidR="00286828" w:rsidRPr="008E0A7D" w:rsidRDefault="00286828" w:rsidP="00286828">
      <w:pPr>
        <w:ind w:firstLine="720"/>
        <w:jc w:val="both"/>
        <w:rPr>
          <w:lang w:val="sr-Cyrl-BA"/>
        </w:rPr>
      </w:pPr>
    </w:p>
    <w:p w:rsidR="005C28DB" w:rsidRDefault="00286828" w:rsidP="005C28DB">
      <w:pPr>
        <w:ind w:firstLine="720"/>
        <w:jc w:val="both"/>
        <w:rPr>
          <w:lang w:val="sr-Cyrl-BA"/>
        </w:rPr>
      </w:pPr>
      <w:r w:rsidRPr="008E0A7D">
        <w:rPr>
          <w:lang w:val="hr-HR"/>
        </w:rPr>
        <w:t>Циљ система наплате и к</w:t>
      </w:r>
      <w:r>
        <w:rPr>
          <w:lang w:val="hr-HR"/>
        </w:rPr>
        <w:t>онтроле паркирања не треба да</w:t>
      </w:r>
      <w:r w:rsidRPr="008E0A7D">
        <w:rPr>
          <w:lang w:val="hr-HR"/>
        </w:rPr>
        <w:t xml:space="preserve"> буду доплатне карте као извор прихода, </w:t>
      </w:r>
      <w:r w:rsidR="004E07FC">
        <w:rPr>
          <w:lang w:val="sr-Cyrl-BA"/>
        </w:rPr>
        <w:t>с циљем да</w:t>
      </w:r>
      <w:r w:rsidR="00297485">
        <w:rPr>
          <w:lang w:val="sr-Cyrl-BA"/>
        </w:rPr>
        <w:t xml:space="preserve"> </w:t>
      </w:r>
      <w:r w:rsidRPr="008E0A7D">
        <w:rPr>
          <w:lang w:val="hr-HR"/>
        </w:rPr>
        <w:t>покрива</w:t>
      </w:r>
      <w:r w:rsidR="00297485">
        <w:rPr>
          <w:lang w:val="sr-Cyrl-BA"/>
        </w:rPr>
        <w:t>ју</w:t>
      </w:r>
      <w:r w:rsidRPr="008E0A7D">
        <w:rPr>
          <w:lang w:val="hr-HR"/>
        </w:rPr>
        <w:t xml:space="preserve"> одређене трошкове у функционисању </w:t>
      </w:r>
      <w:r w:rsidR="00297485">
        <w:rPr>
          <w:lang w:val="sr-Cyrl-BA"/>
        </w:rPr>
        <w:t>паркирања</w:t>
      </w:r>
      <w:r w:rsidRPr="008E0A7D">
        <w:rPr>
          <w:lang w:val="hr-HR"/>
        </w:rPr>
        <w:t>, већ да буду само мјера санкционисања корисника који и даље не желе да користе паркирање у складу са Одлуком о паркирању</w:t>
      </w:r>
      <w:r w:rsidR="00297485">
        <w:rPr>
          <w:lang w:val="sr-Cyrl-BA"/>
        </w:rPr>
        <w:t xml:space="preserve"> и</w:t>
      </w:r>
      <w:r w:rsidR="00297485" w:rsidRPr="00297485">
        <w:rPr>
          <w:lang w:val="hr-HR"/>
        </w:rPr>
        <w:t xml:space="preserve"> </w:t>
      </w:r>
      <w:r w:rsidR="00297485" w:rsidRPr="008E0A7D">
        <w:rPr>
          <w:lang w:val="hr-HR"/>
        </w:rPr>
        <w:t>Правилником</w:t>
      </w:r>
      <w:r w:rsidR="00B36C00">
        <w:rPr>
          <w:lang w:val="sr-Cyrl-BA"/>
        </w:rPr>
        <w:t>.</w:t>
      </w:r>
    </w:p>
    <w:p w:rsidR="005C28DB" w:rsidRDefault="00297485" w:rsidP="005C28DB">
      <w:pPr>
        <w:ind w:firstLine="720"/>
        <w:jc w:val="both"/>
        <w:rPr>
          <w:lang w:val="sr-Cyrl-BA"/>
        </w:rPr>
      </w:pPr>
      <w:r>
        <w:rPr>
          <w:lang w:val="sr-Cyrl-CS"/>
        </w:rPr>
        <w:t xml:space="preserve"> </w:t>
      </w:r>
      <w:r w:rsidR="00B36C00">
        <w:rPr>
          <w:lang w:val="sr-Cyrl-CS"/>
        </w:rPr>
        <w:t>Р</w:t>
      </w:r>
      <w:r w:rsidR="00286828" w:rsidRPr="008E0A7D">
        <w:rPr>
          <w:lang w:val="sr-Cyrl-CS"/>
        </w:rPr>
        <w:t>елативно</w:t>
      </w:r>
      <w:r w:rsidR="00B36C00">
        <w:rPr>
          <w:lang w:val="sr-Cyrl-CS"/>
        </w:rPr>
        <w:t xml:space="preserve"> је</w:t>
      </w:r>
      <w:r w:rsidR="00286828" w:rsidRPr="008E0A7D">
        <w:rPr>
          <w:lang w:val="sr-Cyrl-CS"/>
        </w:rPr>
        <w:t xml:space="preserve"> велики проценат ненаплаћених доплатних карата</w:t>
      </w:r>
      <w:r w:rsidR="00286828" w:rsidRPr="008E0A7D">
        <w:rPr>
          <w:lang w:val="sr-Latn-BA"/>
        </w:rPr>
        <w:t xml:space="preserve"> </w:t>
      </w:r>
      <w:r>
        <w:rPr>
          <w:lang w:val="sr-Cyrl-BA"/>
        </w:rPr>
        <w:t>углавно</w:t>
      </w:r>
      <w:r w:rsidR="00286828" w:rsidRPr="008E0A7D">
        <w:rPr>
          <w:lang w:val="sr-Latn-BA"/>
        </w:rPr>
        <w:t xml:space="preserve">м условљен </w:t>
      </w:r>
      <w:r>
        <w:rPr>
          <w:lang w:val="sr-Cyrl-BA"/>
        </w:rPr>
        <w:t>чиње</w:t>
      </w:r>
      <w:r w:rsidR="005C28DB">
        <w:rPr>
          <w:lang w:val="sr-Cyrl-BA"/>
        </w:rPr>
        <w:t xml:space="preserve">ницом да један корисник начини </w:t>
      </w:r>
      <w:r w:rsidR="00286828" w:rsidRPr="008E0A7D">
        <w:rPr>
          <w:lang w:val="sr-Latn-BA"/>
        </w:rPr>
        <w:t xml:space="preserve"> јед</w:t>
      </w:r>
      <w:r w:rsidR="005C28DB">
        <w:rPr>
          <w:lang w:val="sr-Cyrl-BA"/>
        </w:rPr>
        <w:t>ан</w:t>
      </w:r>
      <w:r w:rsidR="00286828" w:rsidRPr="008E0A7D">
        <w:rPr>
          <w:lang w:val="sr-Latn-BA"/>
        </w:rPr>
        <w:t xml:space="preserve"> </w:t>
      </w:r>
      <w:r w:rsidR="005C28DB">
        <w:rPr>
          <w:lang w:val="sr-Cyrl-BA"/>
        </w:rPr>
        <w:t>до</w:t>
      </w:r>
      <w:r w:rsidR="00286828" w:rsidRPr="008E0A7D">
        <w:rPr>
          <w:lang w:val="sr-Latn-BA"/>
        </w:rPr>
        <w:t xml:space="preserve"> два прекршаја, </w:t>
      </w:r>
      <w:r w:rsidR="005C28DB">
        <w:rPr>
          <w:lang w:val="sr-Cyrl-BA"/>
        </w:rPr>
        <w:t>док</w:t>
      </w:r>
      <w:r w:rsidR="004E07FC">
        <w:rPr>
          <w:lang w:val="sr-Cyrl-BA"/>
        </w:rPr>
        <w:t xml:space="preserve"> је</w:t>
      </w:r>
      <w:r w:rsidR="005C28DB">
        <w:rPr>
          <w:lang w:val="sr-Cyrl-BA"/>
        </w:rPr>
        <w:t xml:space="preserve"> </w:t>
      </w:r>
      <w:r w:rsidR="005C28DB" w:rsidRPr="008E0A7D">
        <w:rPr>
          <w:lang w:val="sr-Latn-BA"/>
        </w:rPr>
        <w:t>услов да се возило блокира т</w:t>
      </w:r>
      <w:r w:rsidR="005C28DB">
        <w:rPr>
          <w:lang w:val="sr-Latn-BA"/>
        </w:rPr>
        <w:t xml:space="preserve">ек кад </w:t>
      </w:r>
      <w:r w:rsidR="005C28DB">
        <w:rPr>
          <w:lang w:val="sr-Cyrl-BA"/>
        </w:rPr>
        <w:t xml:space="preserve">учини </w:t>
      </w:r>
      <w:r w:rsidR="005C28DB">
        <w:rPr>
          <w:lang w:val="sr-Latn-BA"/>
        </w:rPr>
        <w:t xml:space="preserve">више прекршаја, </w:t>
      </w:r>
      <w:r w:rsidR="005C28DB" w:rsidRPr="008E0A7D">
        <w:rPr>
          <w:lang w:val="sr-Latn-BA"/>
        </w:rPr>
        <w:t>тако да је</w:t>
      </w:r>
      <w:r w:rsidR="005C28DB" w:rsidRPr="008E0A7D">
        <w:rPr>
          <w:b/>
          <w:lang w:val="sr-Latn-BA"/>
        </w:rPr>
        <w:t xml:space="preserve"> </w:t>
      </w:r>
      <w:r w:rsidR="005C28DB" w:rsidRPr="008E0A7D">
        <w:rPr>
          <w:lang w:val="sr-Cyrl-BA"/>
        </w:rPr>
        <w:t>поред мјере блокирања возила потребно предузимати и друге мјере санкционисања</w:t>
      </w:r>
      <w:r w:rsidR="004E07FC">
        <w:rPr>
          <w:lang w:val="sr-Cyrl-BA"/>
        </w:rPr>
        <w:t xml:space="preserve"> за неплаћање паркирања</w:t>
      </w:r>
      <w:r w:rsidR="005C28DB">
        <w:rPr>
          <w:lang w:val="sr-Cyrl-BA"/>
        </w:rPr>
        <w:t>.</w:t>
      </w:r>
    </w:p>
    <w:p w:rsidR="004E07FC" w:rsidRDefault="004E07FC" w:rsidP="00286828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Даље, </w:t>
      </w:r>
      <w:r w:rsidR="00286828" w:rsidRPr="008E0A7D">
        <w:rPr>
          <w:lang w:val="sr-Latn-BA"/>
        </w:rPr>
        <w:t>промјеном регистарских ознака на возилу или продајом возила</w:t>
      </w:r>
      <w:r w:rsidR="00B36C00">
        <w:rPr>
          <w:lang w:val="sr-Cyrl-BA"/>
        </w:rPr>
        <w:t>,</w:t>
      </w:r>
      <w:r w:rsidR="00286828" w:rsidRPr="008E0A7D">
        <w:rPr>
          <w:lang w:val="sr-Latn-BA"/>
        </w:rPr>
        <w:t xml:space="preserve"> </w:t>
      </w:r>
      <w:r w:rsidR="00B36C00">
        <w:rPr>
          <w:lang w:val="sr-Cyrl-BA"/>
        </w:rPr>
        <w:t xml:space="preserve">те у вези с тим </w:t>
      </w:r>
      <w:r w:rsidR="00286828" w:rsidRPr="008E0A7D">
        <w:rPr>
          <w:lang w:val="sr-Latn-BA"/>
        </w:rPr>
        <w:t xml:space="preserve">немогућности повезивања и провјере у бази података у ЦЈБ, као и веома спорог добијања података од стране МУП-а </w:t>
      </w:r>
      <w:r w:rsidR="00B36C00">
        <w:rPr>
          <w:lang w:val="sr-Cyrl-BA"/>
        </w:rPr>
        <w:t>због</w:t>
      </w:r>
      <w:r w:rsidR="00286828" w:rsidRPr="008E0A7D">
        <w:rPr>
          <w:lang w:val="sr-Latn-BA"/>
        </w:rPr>
        <w:t xml:space="preserve"> централизованог система регистрације на нивоу БиХ</w:t>
      </w:r>
      <w:r>
        <w:rPr>
          <w:lang w:val="sr-Cyrl-BA"/>
        </w:rPr>
        <w:t>, долази до одређеног броја ненаплативости доплатних карата. Због свега наведеног-</w:t>
      </w:r>
    </w:p>
    <w:p w:rsidR="00286828" w:rsidRPr="008E0A7D" w:rsidRDefault="00286828" w:rsidP="00286828">
      <w:pPr>
        <w:ind w:firstLine="720"/>
        <w:jc w:val="both"/>
        <w:rPr>
          <w:lang w:val="sr-Cyrl-BA"/>
        </w:rPr>
      </w:pPr>
      <w:r w:rsidRPr="008E0A7D">
        <w:rPr>
          <w:lang w:val="sr-Latn-BA"/>
        </w:rPr>
        <w:t xml:space="preserve">. </w:t>
      </w:r>
    </w:p>
    <w:p w:rsidR="00286828" w:rsidRDefault="00286828" w:rsidP="00286828">
      <w:pPr>
        <w:ind w:firstLine="720"/>
        <w:jc w:val="both"/>
        <w:rPr>
          <w:b/>
          <w:lang w:val="sr-Cyrl-CS"/>
        </w:rPr>
      </w:pPr>
      <w:r w:rsidRPr="008E0A7D">
        <w:rPr>
          <w:b/>
          <w:lang w:val="sr-Cyrl-CS"/>
        </w:rPr>
        <w:t>ПРИЈЕДЛОГ</w:t>
      </w:r>
      <w:r>
        <w:rPr>
          <w:b/>
          <w:lang w:val="sr-Latn-BA"/>
        </w:rPr>
        <w:t xml:space="preserve"> </w:t>
      </w:r>
      <w:r>
        <w:rPr>
          <w:b/>
        </w:rPr>
        <w:t>4</w:t>
      </w:r>
      <w:r w:rsidRPr="008E0A7D">
        <w:rPr>
          <w:b/>
          <w:lang w:val="sr-Cyrl-CS"/>
        </w:rPr>
        <w:t xml:space="preserve"> је да се у </w:t>
      </w:r>
      <w:r>
        <w:rPr>
          <w:b/>
          <w:lang w:val="sr-Cyrl-BA"/>
        </w:rPr>
        <w:t xml:space="preserve">Правилник о </w:t>
      </w:r>
      <w:r w:rsidR="004E07FC">
        <w:rPr>
          <w:b/>
          <w:lang w:val="sr-Cyrl-BA"/>
        </w:rPr>
        <w:t>ј</w:t>
      </w:r>
      <w:r w:rsidRPr="008E0A7D">
        <w:rPr>
          <w:b/>
          <w:lang w:val="sr-Cyrl-BA"/>
        </w:rPr>
        <w:t>авним паркиралиштима</w:t>
      </w:r>
      <w:r>
        <w:rPr>
          <w:b/>
          <w:lang w:val="sr-Cyrl-CS"/>
        </w:rPr>
        <w:t xml:space="preserve"> и Правилник о раду </w:t>
      </w:r>
      <w:r w:rsidR="004E07FC">
        <w:rPr>
          <w:b/>
          <w:lang w:val="sr-Cyrl-CS"/>
        </w:rPr>
        <w:t>к</w:t>
      </w:r>
      <w:r w:rsidRPr="008E0A7D">
        <w:rPr>
          <w:b/>
          <w:lang w:val="sr-Cyrl-CS"/>
        </w:rPr>
        <w:t xml:space="preserve">омуналне полиције унесу измјене и </w:t>
      </w:r>
      <w:r w:rsidRPr="008E0A7D">
        <w:rPr>
          <w:b/>
          <w:lang w:val="sr-Latn-CS"/>
        </w:rPr>
        <w:t>да се корисници паркирања који имају већи број доплатних карата</w:t>
      </w:r>
      <w:r>
        <w:rPr>
          <w:b/>
          <w:lang w:val="sr-Latn-CS"/>
        </w:rPr>
        <w:t xml:space="preserve"> (више од 3) санкционишу </w:t>
      </w:r>
      <w:r w:rsidRPr="008E0A7D">
        <w:rPr>
          <w:b/>
          <w:lang w:val="sr-Latn-CS"/>
        </w:rPr>
        <w:t xml:space="preserve"> налозима комуналне полиције</w:t>
      </w:r>
      <w:r w:rsidRPr="008E0A7D">
        <w:rPr>
          <w:b/>
          <w:lang w:val="sr-Cyrl-CS"/>
        </w:rPr>
        <w:t>,</w:t>
      </w:r>
      <w:r w:rsidRPr="008E0A7D">
        <w:rPr>
          <w:b/>
          <w:lang w:val="sr-Latn-BA"/>
        </w:rPr>
        <w:t xml:space="preserve"> на основу фото и друге документације,</w:t>
      </w:r>
      <w:r>
        <w:rPr>
          <w:b/>
          <w:lang w:val="sr-Cyrl-CS"/>
        </w:rPr>
        <w:t xml:space="preserve"> </w:t>
      </w:r>
      <w:r w:rsidRPr="008E0A7D">
        <w:rPr>
          <w:b/>
          <w:lang w:val="sr-Cyrl-CS"/>
        </w:rPr>
        <w:t>а нов</w:t>
      </w:r>
      <w:r>
        <w:rPr>
          <w:b/>
          <w:lang w:val="sr-Cyrl-CS"/>
        </w:rPr>
        <w:t>чана средства по овом основу ишла би на рачун буџета Града Бијељина.</w:t>
      </w:r>
      <w:r w:rsidRPr="008E0A7D">
        <w:rPr>
          <w:b/>
          <w:lang w:val="sr-Cyrl-CS"/>
        </w:rPr>
        <w:t xml:space="preserve"> </w:t>
      </w:r>
    </w:p>
    <w:p w:rsidR="00286828" w:rsidRPr="008E0A7D" w:rsidRDefault="00286828" w:rsidP="00286828">
      <w:pPr>
        <w:ind w:firstLine="720"/>
        <w:jc w:val="both"/>
        <w:rPr>
          <w:b/>
          <w:lang w:val="sr-Cyrl-BA"/>
        </w:rPr>
      </w:pPr>
    </w:p>
    <w:p w:rsidR="00AF6FFE" w:rsidRDefault="00AF6FFE" w:rsidP="00AF6FFE">
      <w:pPr>
        <w:rPr>
          <w:lang w:val="sr-Cyrl-CS"/>
        </w:rPr>
      </w:pPr>
      <w:r w:rsidRPr="008E0A7D">
        <w:rPr>
          <w:lang w:val="sr-Cyrl-CS"/>
        </w:rPr>
        <w:t>.</w:t>
      </w:r>
    </w:p>
    <w:p w:rsidR="00AF6FFE" w:rsidRPr="0010404E" w:rsidRDefault="00AF6FFE" w:rsidP="00AF6FFE">
      <w:pPr>
        <w:rPr>
          <w:b/>
          <w:i/>
          <w:lang w:val="sr-Cyrl-CS"/>
        </w:rPr>
      </w:pPr>
      <w:r w:rsidRPr="0010404E">
        <w:rPr>
          <w:b/>
          <w:i/>
          <w:lang w:val="sr-Cyrl-CS"/>
        </w:rPr>
        <w:lastRenderedPageBreak/>
        <w:t>СЛУЖБА СПОРТСКО-РЕКРЕАТИВНИХ ОБЈЕКАТА</w:t>
      </w:r>
    </w:p>
    <w:p w:rsidR="00AF6FFE" w:rsidRDefault="00AF6FFE" w:rsidP="00AF6FFE">
      <w:pPr>
        <w:ind w:left="-540"/>
        <w:jc w:val="both"/>
        <w:rPr>
          <w:lang w:val="sr-Cyrl-BA"/>
        </w:rPr>
      </w:pPr>
    </w:p>
    <w:p w:rsidR="00AF6FFE" w:rsidRPr="00784F9B" w:rsidRDefault="00286828" w:rsidP="00AF6FFE">
      <w:pPr>
        <w:jc w:val="both"/>
        <w:rPr>
          <w:lang w:val="sr-Cyrl-BA"/>
        </w:rPr>
      </w:pPr>
      <w:r>
        <w:rPr>
          <w:lang w:val="sr-Cyrl-BA"/>
        </w:rPr>
        <w:t>У 2018</w:t>
      </w:r>
      <w:r w:rsidR="000F61B5">
        <w:rPr>
          <w:lang w:val="sr-Cyrl-BA"/>
        </w:rPr>
        <w:t xml:space="preserve">. </w:t>
      </w:r>
      <w:r w:rsidR="00AF6FFE">
        <w:rPr>
          <w:lang w:val="sr-Cyrl-BA"/>
        </w:rPr>
        <w:t>години Служба спортско-рекреативних објеката је са укупно 1</w:t>
      </w:r>
      <w:r w:rsidR="000F61B5">
        <w:rPr>
          <w:lang w:val="sr-Cyrl-BA"/>
        </w:rPr>
        <w:t>1</w:t>
      </w:r>
      <w:r w:rsidR="00AF6FFE">
        <w:rPr>
          <w:lang w:val="sr-Cyrl-BA"/>
        </w:rPr>
        <w:t xml:space="preserve"> запослених радника на пословима управљања спортском салом у Рачанској улици и градским      стадионом, кроз редовно одржавање омогућила:</w:t>
      </w:r>
    </w:p>
    <w:p w:rsidR="00AF6FFE" w:rsidRDefault="00AF6FFE" w:rsidP="00AF6FFE">
      <w:pPr>
        <w:numPr>
          <w:ilvl w:val="0"/>
          <w:numId w:val="13"/>
        </w:numPr>
        <w:jc w:val="both"/>
        <w:rPr>
          <w:lang w:val="sr-Cyrl-BA"/>
        </w:rPr>
      </w:pPr>
      <w:r>
        <w:rPr>
          <w:lang w:val="sr-Cyrl-BA"/>
        </w:rPr>
        <w:t>извођење наставе физичког васпитања за ученике Гимназије “Филип Вишњњић“, Економске школе и Техничке школе „Михајло Пупин“</w:t>
      </w:r>
    </w:p>
    <w:p w:rsidR="00AF6FFE" w:rsidRDefault="00AF6FFE" w:rsidP="00AF6FFE">
      <w:pPr>
        <w:numPr>
          <w:ilvl w:val="0"/>
          <w:numId w:val="13"/>
        </w:numPr>
        <w:jc w:val="both"/>
        <w:rPr>
          <w:lang w:val="sr-Cyrl-BA"/>
        </w:rPr>
      </w:pPr>
      <w:r>
        <w:rPr>
          <w:lang w:val="sr-Cyrl-BA"/>
        </w:rPr>
        <w:t>одржавање регионалних и републичких такмичења школа у оквиру малих олимпијских игара,</w:t>
      </w:r>
    </w:p>
    <w:p w:rsidR="00AF6FFE" w:rsidRDefault="00AF6FFE" w:rsidP="00AF6FFE">
      <w:pPr>
        <w:numPr>
          <w:ilvl w:val="0"/>
          <w:numId w:val="13"/>
        </w:numPr>
        <w:jc w:val="both"/>
        <w:rPr>
          <w:lang w:val="sr-Cyrl-BA"/>
        </w:rPr>
      </w:pPr>
      <w:r>
        <w:rPr>
          <w:lang w:val="sr-Cyrl-BA"/>
        </w:rPr>
        <w:t>одржавања редовних тренинга спортских клубова РК „Бијељина,  ЖРК „Радник“, КК „Радник“ ОК „Радник“, КК „Радник-БН баскет“ у петодневној радној седмици</w:t>
      </w:r>
      <w:r w:rsidR="00F13342">
        <w:rPr>
          <w:lang w:val="sr-Cyrl-BA"/>
        </w:rPr>
        <w:t>,</w:t>
      </w:r>
      <w:r>
        <w:rPr>
          <w:lang w:val="sr-Cyrl-BA"/>
        </w:rPr>
        <w:t xml:space="preserve"> у времену од 19-23 часова.</w:t>
      </w:r>
    </w:p>
    <w:p w:rsidR="00AF6FFE" w:rsidRDefault="00AF6FFE" w:rsidP="00AF6FFE">
      <w:pPr>
        <w:numPr>
          <w:ilvl w:val="0"/>
          <w:numId w:val="13"/>
        </w:numPr>
        <w:jc w:val="both"/>
        <w:rPr>
          <w:lang w:val="sr-Cyrl-BA"/>
        </w:rPr>
      </w:pPr>
      <w:r>
        <w:rPr>
          <w:lang w:val="sr-Cyrl-BA"/>
        </w:rPr>
        <w:t>одржавање првенствених утакмица и тренинге млађих категорија у дане викенда</w:t>
      </w:r>
    </w:p>
    <w:p w:rsidR="00AF6FFE" w:rsidRDefault="00AF6FFE" w:rsidP="00AF6FFE">
      <w:pPr>
        <w:numPr>
          <w:ilvl w:val="0"/>
          <w:numId w:val="13"/>
        </w:numPr>
        <w:jc w:val="both"/>
        <w:rPr>
          <w:lang w:val="sr-Cyrl-BA"/>
        </w:rPr>
      </w:pPr>
      <w:r>
        <w:rPr>
          <w:lang w:val="sr-Cyrl-BA"/>
        </w:rPr>
        <w:t>одржавање турнира и других манифестација.</w:t>
      </w:r>
    </w:p>
    <w:p w:rsidR="00AF6FFE" w:rsidRDefault="00AF6FFE" w:rsidP="00AF6FFE">
      <w:pPr>
        <w:jc w:val="both"/>
        <w:rPr>
          <w:lang w:val="sr-Cyrl-BA"/>
        </w:rPr>
      </w:pPr>
      <w:r>
        <w:rPr>
          <w:lang w:val="sr-Cyrl-BA"/>
        </w:rPr>
        <w:t>Све неопходне поправке на објектима и опреми у смислу текућег одржавања урађене су од стране запослених.</w:t>
      </w:r>
    </w:p>
    <w:p w:rsidR="00AF6FFE" w:rsidRDefault="00AF6FFE" w:rsidP="00AF6FFE">
      <w:pPr>
        <w:jc w:val="both"/>
        <w:rPr>
          <w:lang w:val="sr-Cyrl-BA"/>
        </w:rPr>
      </w:pPr>
      <w:r>
        <w:rPr>
          <w:lang w:val="sr-Cyrl-BA"/>
        </w:rPr>
        <w:t>На спортској сали у Рачанској улици хитно је потребно</w:t>
      </w:r>
      <w:r w:rsidR="00286828">
        <w:rPr>
          <w:lang w:val="sr-Cyrl-BA"/>
        </w:rPr>
        <w:t>,</w:t>
      </w:r>
      <w:r>
        <w:rPr>
          <w:lang w:val="sr-Cyrl-BA"/>
        </w:rPr>
        <w:t xml:space="preserve"> </w:t>
      </w:r>
      <w:r w:rsidR="00286828">
        <w:rPr>
          <w:lang w:val="sr-Cyrl-BA"/>
        </w:rPr>
        <w:t>поред</w:t>
      </w:r>
      <w:r w:rsidR="000F61B5">
        <w:rPr>
          <w:lang w:val="sr-Cyrl-BA"/>
        </w:rPr>
        <w:t xml:space="preserve"> већ извршене</w:t>
      </w:r>
      <w:r w:rsidR="00286828">
        <w:rPr>
          <w:lang w:val="sr-Cyrl-BA"/>
        </w:rPr>
        <w:t xml:space="preserve"> замјене</w:t>
      </w:r>
      <w:r>
        <w:rPr>
          <w:lang w:val="sr-Cyrl-BA"/>
        </w:rPr>
        <w:t xml:space="preserve"> кровног покривача</w:t>
      </w:r>
      <w:r w:rsidR="00286828">
        <w:rPr>
          <w:lang w:val="sr-Cyrl-BA"/>
        </w:rPr>
        <w:t>,</w:t>
      </w:r>
      <w:r>
        <w:rPr>
          <w:lang w:val="sr-Cyrl-BA"/>
        </w:rPr>
        <w:t xml:space="preserve"> урадити нови паркет. Поред тога потребно је имовински ријешити постојећу котловницу или на други економско исплативи начин</w:t>
      </w:r>
      <w:r w:rsidR="00F13342">
        <w:rPr>
          <w:lang w:val="sr-Cyrl-BA"/>
        </w:rPr>
        <w:t xml:space="preserve"> ријешити</w:t>
      </w:r>
      <w:r>
        <w:rPr>
          <w:lang w:val="sr-Cyrl-BA"/>
        </w:rPr>
        <w:t xml:space="preserve"> загријавањ</w:t>
      </w:r>
      <w:r w:rsidR="00F13342">
        <w:rPr>
          <w:lang w:val="sr-Cyrl-BA"/>
        </w:rPr>
        <w:t>е</w:t>
      </w:r>
      <w:r>
        <w:rPr>
          <w:lang w:val="sr-Cyrl-BA"/>
        </w:rPr>
        <w:t xml:space="preserve"> сале.</w:t>
      </w:r>
    </w:p>
    <w:p w:rsidR="00AF6FFE" w:rsidRPr="000C1B0C" w:rsidRDefault="00AF6FFE" w:rsidP="00AF6FFE">
      <w:pPr>
        <w:jc w:val="both"/>
        <w:rPr>
          <w:b/>
          <w:szCs w:val="22"/>
          <w:lang w:val="sr-Latn-BA"/>
        </w:rPr>
      </w:pPr>
      <w:r>
        <w:rPr>
          <w:lang w:val="sr-Cyrl-BA"/>
        </w:rPr>
        <w:tab/>
      </w:r>
    </w:p>
    <w:p w:rsidR="00AF6FFE" w:rsidRPr="00EB14DA" w:rsidRDefault="00AF6FFE" w:rsidP="00AF6FFE">
      <w:pPr>
        <w:rPr>
          <w:b/>
          <w:i/>
          <w:lang w:val="sr-Cyrl-CS"/>
        </w:rPr>
      </w:pPr>
      <w:r w:rsidRPr="00EB14DA">
        <w:rPr>
          <w:b/>
          <w:i/>
          <w:lang w:val="sr-Cyrl-CS"/>
        </w:rPr>
        <w:t>СЛУЖБА ЗА РАЧУНОВОДСТВЕНЕ И ФИНАНСИЈСКЕ ПОСЛОВЕ</w:t>
      </w:r>
    </w:p>
    <w:p w:rsidR="00AF6FFE" w:rsidRPr="004A0A87" w:rsidRDefault="00AF6FFE" w:rsidP="00AF6FFE">
      <w:pPr>
        <w:rPr>
          <w:bCs/>
          <w:szCs w:val="22"/>
          <w:lang w:val="ru-RU"/>
        </w:rPr>
      </w:pPr>
    </w:p>
    <w:p w:rsidR="00AF6FFE" w:rsidRDefault="00AF6FFE" w:rsidP="00AF6FFE">
      <w:pPr>
        <w:pStyle w:val="Heading2"/>
        <w:jc w:val="both"/>
        <w:rPr>
          <w:sz w:val="24"/>
          <w:szCs w:val="24"/>
        </w:rPr>
      </w:pPr>
    </w:p>
    <w:p w:rsidR="00AF6FFE" w:rsidRPr="003A516A" w:rsidRDefault="00AF6FFE" w:rsidP="00AF6FFE">
      <w:pPr>
        <w:pStyle w:val="Heading2"/>
        <w:jc w:val="both"/>
        <w:rPr>
          <w:bCs/>
          <w:sz w:val="24"/>
          <w:szCs w:val="24"/>
        </w:rPr>
      </w:pPr>
      <w:r w:rsidRPr="003A516A">
        <w:rPr>
          <w:sz w:val="24"/>
          <w:szCs w:val="24"/>
        </w:rPr>
        <w:t xml:space="preserve">ФИНАНСИЈСКО-РАЧУНОВОДСТВЕНИ ИЗВЈЕШТАЈ </w:t>
      </w:r>
      <w:r>
        <w:rPr>
          <w:bCs/>
          <w:sz w:val="24"/>
          <w:szCs w:val="24"/>
        </w:rPr>
        <w:t>О ПОСЛОВАЊУ ДИРЕКЦИЈЕ У 201</w:t>
      </w:r>
      <w:r w:rsidR="007D2641">
        <w:rPr>
          <w:bCs/>
          <w:sz w:val="24"/>
          <w:szCs w:val="24"/>
          <w:lang w:val="sr-Cyrl-BA"/>
        </w:rPr>
        <w:t>8</w:t>
      </w:r>
      <w:r w:rsidRPr="003A516A">
        <w:rPr>
          <w:bCs/>
          <w:sz w:val="24"/>
          <w:szCs w:val="24"/>
        </w:rPr>
        <w:t>. ГОДИНИ:</w:t>
      </w:r>
    </w:p>
    <w:p w:rsidR="00AF6FFE" w:rsidRPr="00704B8B" w:rsidRDefault="00AF6FFE" w:rsidP="00AF6FFE">
      <w:pPr>
        <w:rPr>
          <w:lang w:val="sr-Cyrl-CS"/>
        </w:rPr>
      </w:pPr>
    </w:p>
    <w:p w:rsidR="007D2641" w:rsidRPr="005062B8" w:rsidRDefault="007D2641" w:rsidP="007D2641">
      <w:pPr>
        <w:rPr>
          <w:b/>
          <w:color w:val="000000"/>
          <w:lang w:val="sr-Latn-CS"/>
        </w:rPr>
      </w:pPr>
      <w:r w:rsidRPr="005062B8">
        <w:rPr>
          <w:b/>
          <w:color w:val="000000"/>
          <w:lang w:val="sr-Latn-CS"/>
        </w:rPr>
        <w:t>I.</w:t>
      </w:r>
      <w:r w:rsidRPr="005062B8">
        <w:rPr>
          <w:b/>
          <w:color w:val="000000"/>
          <w:lang w:val="sr-Cyrl-CS"/>
        </w:rPr>
        <w:t xml:space="preserve">   </w:t>
      </w:r>
      <w:r w:rsidRPr="005062B8">
        <w:rPr>
          <w:b/>
          <w:color w:val="000000"/>
          <w:u w:val="single"/>
          <w:lang w:val="sr-Cyrl-CS"/>
        </w:rPr>
        <w:t>Информација о предузећу</w:t>
      </w:r>
    </w:p>
    <w:p w:rsidR="007D2641" w:rsidRPr="00CF1E71" w:rsidRDefault="007D2641" w:rsidP="007D2641">
      <w:pPr>
        <w:jc w:val="both"/>
        <w:rPr>
          <w:b/>
          <w:color w:val="000000"/>
          <w:u w:val="single"/>
          <w:lang w:val="sr-Cyrl-CS"/>
        </w:rPr>
      </w:pPr>
    </w:p>
    <w:p w:rsidR="007D2641" w:rsidRPr="00CF1E71" w:rsidRDefault="007D2641" w:rsidP="007D2641">
      <w:pPr>
        <w:jc w:val="both"/>
        <w:rPr>
          <w:color w:val="000000"/>
          <w:lang w:val="sr-Latn-CS"/>
        </w:rPr>
      </w:pPr>
      <w:r w:rsidRPr="00CF1E71">
        <w:rPr>
          <w:color w:val="000000"/>
          <w:lang w:val="sr-Cyrl-CS"/>
        </w:rPr>
        <w:t xml:space="preserve"> ЈП "Дирекција за изградњу и развој града" д.о.о. Бијељина основана је дана 25.02.2004. године од стране јединице локалне самоуправе, дакле, Града Бијељина, са циљем обављања послова прибављања, припремања и уређења грађевинског земљишта, организовања и вођења инвестиција од значаја за општину ка</w:t>
      </w:r>
      <w:r w:rsidRPr="00CF1E71">
        <w:rPr>
          <w:color w:val="000000"/>
          <w:lang w:val="sr-Cyrl-BA"/>
        </w:rPr>
        <w:t xml:space="preserve">сније и управљање спортским објектима као </w:t>
      </w:r>
      <w:r w:rsidRPr="00CF1E71">
        <w:rPr>
          <w:color w:val="000000"/>
          <w:lang w:val="sr-Cyrl-CS"/>
        </w:rPr>
        <w:t xml:space="preserve"> и активности заштите и унапређења животне средине.</w:t>
      </w:r>
    </w:p>
    <w:p w:rsidR="007D2641" w:rsidRPr="00CF1E71" w:rsidRDefault="007D2641" w:rsidP="007D2641">
      <w:pPr>
        <w:jc w:val="both"/>
        <w:rPr>
          <w:color w:val="000000"/>
          <w:lang w:val="sr-Cyrl-CS"/>
        </w:rPr>
      </w:pPr>
      <w:r w:rsidRPr="00CF1E71">
        <w:rPr>
          <w:color w:val="000000"/>
          <w:lang w:val="sr-Cyrl-CS"/>
        </w:rPr>
        <w:t>Сједиште фирме:Карађорђева 33, Бијељина.</w:t>
      </w:r>
    </w:p>
    <w:p w:rsidR="007D2641" w:rsidRDefault="002532DE" w:rsidP="002532DE">
      <w:pPr>
        <w:jc w:val="both"/>
        <w:rPr>
          <w:color w:val="000000"/>
          <w:lang w:val="sr-Cyrl-CS"/>
        </w:rPr>
      </w:pPr>
      <w:r w:rsidRPr="002532DE">
        <w:rPr>
          <w:color w:val="0D0D0D" w:themeColor="text1" w:themeTint="F2"/>
          <w:lang w:val="sr-Cyrl-BA"/>
        </w:rPr>
        <w:t>Предузеће посједује лиценце</w:t>
      </w:r>
      <w:r>
        <w:rPr>
          <w:color w:val="0D0D0D" w:themeColor="text1" w:themeTint="F2"/>
          <w:lang w:val="sr-Cyrl-BA"/>
        </w:rPr>
        <w:t xml:space="preserve">, ближе описане у уводу овог документа, и то </w:t>
      </w:r>
      <w:r w:rsidR="007D2641" w:rsidRPr="00CF1E71">
        <w:rPr>
          <w:color w:val="000000"/>
          <w:lang w:val="sr-Latn-CS"/>
        </w:rPr>
        <w:t>лиценцу Министарс</w:t>
      </w:r>
      <w:r w:rsidR="007D2641" w:rsidRPr="00CF1E71">
        <w:rPr>
          <w:color w:val="000000"/>
          <w:lang w:val="sr-Cyrl-BA"/>
        </w:rPr>
        <w:t>т</w:t>
      </w:r>
      <w:r w:rsidR="007D2641" w:rsidRPr="00CF1E71">
        <w:rPr>
          <w:color w:val="000000"/>
          <w:lang w:val="sr-Latn-CS"/>
        </w:rPr>
        <w:t>ва за просторно уређење, грађевинарство и екологију Бања Лука  за израду техничке документације</w:t>
      </w:r>
      <w:r>
        <w:rPr>
          <w:noProof/>
          <w:color w:val="262626" w:themeColor="text1" w:themeTint="D9"/>
          <w:lang w:val="sr-Cyrl-BA"/>
        </w:rPr>
        <w:t xml:space="preserve">, </w:t>
      </w:r>
      <w:r w:rsidR="007D2641" w:rsidRPr="00CF1E71">
        <w:rPr>
          <w:color w:val="000000"/>
          <w:lang w:val="sr-Cyrl-CS"/>
        </w:rPr>
        <w:t xml:space="preserve">лиценцу за израду </w:t>
      </w:r>
      <w:r>
        <w:rPr>
          <w:color w:val="000000"/>
          <w:lang w:val="sr-Cyrl-CS"/>
        </w:rPr>
        <w:t>стратешких докумената просторног уређења</w:t>
      </w:r>
      <w:r w:rsidR="007D2641" w:rsidRPr="00CF1E71">
        <w:rPr>
          <w:color w:val="000000"/>
          <w:lang w:val="sr-Cyrl-CS"/>
        </w:rPr>
        <w:t xml:space="preserve"> и лиценцу за </w:t>
      </w:r>
      <w:r>
        <w:rPr>
          <w:color w:val="000000"/>
          <w:lang w:val="sr-Cyrl-CS"/>
        </w:rPr>
        <w:t>ревизију</w:t>
      </w:r>
      <w:r w:rsidR="007D2641" w:rsidRPr="00CF1E71">
        <w:rPr>
          <w:color w:val="000000"/>
          <w:lang w:val="sr-Cyrl-CS"/>
        </w:rPr>
        <w:t xml:space="preserve"> техничке документације</w:t>
      </w:r>
      <w:r>
        <w:rPr>
          <w:color w:val="000000"/>
          <w:lang w:val="sr-Cyrl-CS"/>
        </w:rPr>
        <w:t>.</w:t>
      </w:r>
    </w:p>
    <w:p w:rsidR="002532DE" w:rsidRPr="00CF1E71" w:rsidRDefault="002532DE" w:rsidP="007D2641">
      <w:pPr>
        <w:jc w:val="both"/>
        <w:rPr>
          <w:color w:val="000000"/>
          <w:lang w:val="sr-Cyrl-CS"/>
        </w:rPr>
      </w:pPr>
    </w:p>
    <w:p w:rsidR="007D2641" w:rsidRPr="004455ED" w:rsidRDefault="007D2641" w:rsidP="007D2641">
      <w:pPr>
        <w:jc w:val="both"/>
        <w:rPr>
          <w:lang w:val="sr-Latn-BA"/>
        </w:rPr>
      </w:pPr>
      <w:r w:rsidRPr="004455ED">
        <w:rPr>
          <w:lang w:val="sr-Cyrl-CS"/>
        </w:rPr>
        <w:tab/>
        <w:t xml:space="preserve">На дан 31.12.2018. године Дирекција </w:t>
      </w:r>
      <w:r w:rsidRPr="004455ED">
        <w:rPr>
          <w:lang w:val="sr-Latn-CS"/>
        </w:rPr>
        <w:t xml:space="preserve"> </w:t>
      </w:r>
      <w:r w:rsidRPr="004455ED">
        <w:rPr>
          <w:lang w:val="sr-Cyrl-CS"/>
        </w:rPr>
        <w:t xml:space="preserve">запошљава </w:t>
      </w:r>
      <w:r w:rsidRPr="004455ED">
        <w:rPr>
          <w:lang w:val="sr-Latn-BA"/>
        </w:rPr>
        <w:t>5</w:t>
      </w:r>
      <w:r w:rsidRPr="004455ED">
        <w:rPr>
          <w:lang w:val="sr-Cyrl-BA"/>
        </w:rPr>
        <w:t>6</w:t>
      </w:r>
      <w:r w:rsidRPr="004455ED">
        <w:rPr>
          <w:lang w:val="sr-Cyrl-CS"/>
        </w:rPr>
        <w:t xml:space="preserve"> радника од чега: 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Cyrl-BA"/>
        </w:rPr>
        <w:t>8</w:t>
      </w:r>
      <w:r w:rsidRPr="004455ED">
        <w:rPr>
          <w:lang w:val="sr-Cyrl-CS"/>
        </w:rPr>
        <w:t xml:space="preserve"> дипл.инж.архитектуре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Cyrl-CS"/>
        </w:rPr>
        <w:t>7 дипл.инж. грађевинарства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Cyrl-CS"/>
        </w:rPr>
        <w:t>2 дипл.инж.машинства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Latn-BA"/>
        </w:rPr>
        <w:t>2</w:t>
      </w:r>
      <w:r w:rsidRPr="004455ED">
        <w:rPr>
          <w:lang w:val="sr-Cyrl-CS"/>
        </w:rPr>
        <w:t xml:space="preserve"> дипл.инж.саобраћаја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Cyrl-CS"/>
        </w:rPr>
        <w:t>2 дипл.инж. електротехнике</w:t>
      </w:r>
    </w:p>
    <w:p w:rsidR="007D2641" w:rsidRDefault="00787533" w:rsidP="007D2641">
      <w:pPr>
        <w:numPr>
          <w:ilvl w:val="0"/>
          <w:numId w:val="36"/>
        </w:numPr>
        <w:jc w:val="both"/>
        <w:rPr>
          <w:lang w:val="sr-Cyrl-CS"/>
        </w:rPr>
      </w:pPr>
      <w:r>
        <w:rPr>
          <w:lang w:val="sr-Cyrl-CS"/>
        </w:rPr>
        <w:t>1</w:t>
      </w:r>
      <w:r w:rsidR="007D2641" w:rsidRPr="004455ED">
        <w:rPr>
          <w:lang w:val="sr-Cyrl-CS"/>
        </w:rPr>
        <w:t xml:space="preserve"> дипл. просторни планер</w:t>
      </w:r>
    </w:p>
    <w:p w:rsidR="00787533" w:rsidRPr="004455ED" w:rsidRDefault="00787533" w:rsidP="007D2641">
      <w:pPr>
        <w:numPr>
          <w:ilvl w:val="0"/>
          <w:numId w:val="36"/>
        </w:numPr>
        <w:jc w:val="both"/>
        <w:rPr>
          <w:lang w:val="sr-Cyrl-CS"/>
        </w:rPr>
      </w:pPr>
      <w:r>
        <w:rPr>
          <w:lang w:val="sr-Cyrl-CS"/>
        </w:rPr>
        <w:t>1 мастер инж.урбанизма и регионалног развоја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Cyrl-CS"/>
        </w:rPr>
        <w:t xml:space="preserve">1 професор произв.техничког образовања (сала </w:t>
      </w:r>
      <w:r w:rsidRPr="004455ED">
        <w:rPr>
          <w:lang w:val="sr-Latn-CS"/>
        </w:rPr>
        <w:t>)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Latn-BA"/>
        </w:rPr>
        <w:t>4</w:t>
      </w:r>
      <w:r w:rsidRPr="004455ED">
        <w:rPr>
          <w:lang w:val="sr-Latn-CS"/>
        </w:rPr>
        <w:t xml:space="preserve"> </w:t>
      </w:r>
      <w:r w:rsidRPr="004455ED">
        <w:rPr>
          <w:lang w:val="sr-Cyrl-CS"/>
        </w:rPr>
        <w:t xml:space="preserve">дипл.економиста 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Cyrl-CS"/>
        </w:rPr>
        <w:t xml:space="preserve">2 дипл.правника 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Latn-CS"/>
        </w:rPr>
        <w:t xml:space="preserve">1 </w:t>
      </w:r>
      <w:r w:rsidRPr="004455ED">
        <w:rPr>
          <w:lang w:val="sr-Cyrl-CS"/>
        </w:rPr>
        <w:t>грађевински инж</w:t>
      </w:r>
      <w:r w:rsidRPr="004455ED">
        <w:rPr>
          <w:lang w:val="sr-Latn-CS"/>
        </w:rPr>
        <w:t>.</w:t>
      </w:r>
      <w:r w:rsidRPr="004455ED">
        <w:rPr>
          <w:lang w:val="sr-Cyrl-BA"/>
        </w:rPr>
        <w:t xml:space="preserve"> (</w:t>
      </w:r>
      <w:r w:rsidR="00787533" w:rsidRPr="004455ED">
        <w:rPr>
          <w:lang w:val="sr-Cyrl-BA"/>
        </w:rPr>
        <w:t>ВШ</w:t>
      </w:r>
      <w:r w:rsidRPr="004455ED">
        <w:rPr>
          <w:lang w:val="sr-Cyrl-BA"/>
        </w:rPr>
        <w:t>)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Cyrl-CS"/>
        </w:rPr>
        <w:lastRenderedPageBreak/>
        <w:t>1 геодетски инжењер (</w:t>
      </w:r>
      <w:r w:rsidR="00787533" w:rsidRPr="004455ED">
        <w:rPr>
          <w:lang w:val="sr-Cyrl-CS"/>
        </w:rPr>
        <w:t>ВШ</w:t>
      </w:r>
      <w:r w:rsidRPr="004455ED">
        <w:rPr>
          <w:lang w:val="sr-Cyrl-CS"/>
        </w:rPr>
        <w:t>)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Cyrl-CS"/>
        </w:rPr>
        <w:t>1 дипл.инж.пословне информатике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Cyrl-CS"/>
        </w:rPr>
        <w:t>1 дипл.инж.пољопривреде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Latn-CS"/>
        </w:rPr>
        <w:t>1</w:t>
      </w:r>
      <w:r w:rsidRPr="004455ED">
        <w:rPr>
          <w:lang w:val="sr-Cyrl-BA"/>
        </w:rPr>
        <w:t>8</w:t>
      </w:r>
      <w:r w:rsidRPr="004455ED">
        <w:rPr>
          <w:lang w:val="sr-Cyrl-CS"/>
        </w:rPr>
        <w:t xml:space="preserve"> ССС разних профила</w:t>
      </w:r>
    </w:p>
    <w:p w:rsidR="007D2641" w:rsidRPr="004455ED" w:rsidRDefault="007D2641" w:rsidP="007D2641">
      <w:pPr>
        <w:numPr>
          <w:ilvl w:val="0"/>
          <w:numId w:val="36"/>
        </w:numPr>
        <w:jc w:val="both"/>
        <w:rPr>
          <w:lang w:val="sr-Cyrl-CS"/>
        </w:rPr>
      </w:pPr>
      <w:r w:rsidRPr="004455ED">
        <w:rPr>
          <w:lang w:val="sr-Cyrl-CS"/>
        </w:rPr>
        <w:t xml:space="preserve">  4 НК радника (сала и стадион)</w:t>
      </w:r>
    </w:p>
    <w:p w:rsidR="00787533" w:rsidRDefault="00787533" w:rsidP="007D2641">
      <w:pPr>
        <w:jc w:val="both"/>
        <w:rPr>
          <w:b/>
          <w:color w:val="000000"/>
          <w:lang w:val="sr-Cyrl-BA"/>
        </w:rPr>
      </w:pPr>
    </w:p>
    <w:p w:rsidR="007D2641" w:rsidRPr="00377588" w:rsidRDefault="007D2641" w:rsidP="007D2641">
      <w:pPr>
        <w:jc w:val="both"/>
        <w:rPr>
          <w:b/>
          <w:color w:val="000000"/>
          <w:lang w:val="sr-Cyrl-CS"/>
        </w:rPr>
      </w:pPr>
      <w:r w:rsidRPr="00377588">
        <w:rPr>
          <w:b/>
          <w:color w:val="000000"/>
          <w:lang w:val="sr-Latn-CS"/>
        </w:rPr>
        <w:t xml:space="preserve">II. </w:t>
      </w:r>
      <w:r w:rsidRPr="00377588">
        <w:rPr>
          <w:b/>
          <w:color w:val="000000"/>
          <w:lang w:val="sr-Cyrl-CS"/>
        </w:rPr>
        <w:t>Напомене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377588" w:rsidRDefault="007D2641" w:rsidP="00787533">
      <w:pPr>
        <w:jc w:val="both"/>
        <w:rPr>
          <w:color w:val="000000"/>
          <w:lang w:val="sr-Latn-BA"/>
        </w:rPr>
      </w:pPr>
      <w:r w:rsidRPr="00377588">
        <w:rPr>
          <w:color w:val="000000"/>
          <w:lang w:val="sr-Cyrl-CS"/>
        </w:rPr>
        <w:t>Појединачни финансијски извјештај</w:t>
      </w:r>
      <w:r w:rsidRPr="00377588">
        <w:rPr>
          <w:color w:val="000000"/>
          <w:lang w:val="sr-Cyrl-BA"/>
        </w:rPr>
        <w:t>и</w:t>
      </w:r>
      <w:r w:rsidRPr="00377588">
        <w:rPr>
          <w:color w:val="000000"/>
          <w:lang w:val="sr-Cyrl-CS"/>
        </w:rPr>
        <w:t xml:space="preserve"> предузећа за период </w:t>
      </w:r>
      <w:r w:rsidR="002532DE">
        <w:rPr>
          <w:color w:val="000000"/>
          <w:lang w:val="sr-Cyrl-CS"/>
        </w:rPr>
        <w:t xml:space="preserve"> </w:t>
      </w:r>
      <w:r w:rsidRPr="00377588">
        <w:rPr>
          <w:color w:val="000000"/>
          <w:lang w:val="sr-Cyrl-CS"/>
        </w:rPr>
        <w:t>01.01.2018. до 31.12.2018</w:t>
      </w:r>
      <w:r w:rsidR="002532DE">
        <w:rPr>
          <w:color w:val="000000"/>
          <w:lang w:val="sr-Cyrl-CS"/>
        </w:rPr>
        <w:t>. године</w:t>
      </w:r>
      <w:r w:rsidRPr="00377588">
        <w:rPr>
          <w:color w:val="000000"/>
          <w:lang w:val="sr-Cyrl-CS"/>
        </w:rPr>
        <w:t>, који су у прилогу, рађени су у складу са важећим прописима и интерним актима фирме.</w:t>
      </w:r>
    </w:p>
    <w:p w:rsidR="007D2641" w:rsidRPr="00377588" w:rsidRDefault="007D2641" w:rsidP="00787533">
      <w:pPr>
        <w:jc w:val="both"/>
        <w:rPr>
          <w:color w:val="000000"/>
          <w:lang w:val="sr-Cyrl-CS"/>
        </w:rPr>
      </w:pPr>
      <w:r w:rsidRPr="00377588">
        <w:rPr>
          <w:color w:val="000000"/>
          <w:lang w:val="sr-Cyrl-CS"/>
        </w:rPr>
        <w:t>Карактеристике позиција Биланса успјеха и Биланса стања ближе су објашњене у виду с</w:t>
      </w:r>
      <w:r w:rsidR="00787533">
        <w:rPr>
          <w:color w:val="000000"/>
          <w:lang w:val="sr-Cyrl-CS"/>
        </w:rPr>
        <w:t>љ</w:t>
      </w:r>
      <w:r w:rsidRPr="00377588">
        <w:rPr>
          <w:color w:val="000000"/>
          <w:lang w:val="sr-Cyrl-CS"/>
        </w:rPr>
        <w:t>едећих напомена.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377588" w:rsidRDefault="007D2641" w:rsidP="007D2641">
      <w:pPr>
        <w:jc w:val="both"/>
        <w:rPr>
          <w:b/>
          <w:color w:val="000000"/>
          <w:u w:val="single"/>
          <w:lang w:val="sr-Latn-BA"/>
        </w:rPr>
      </w:pPr>
      <w:r w:rsidRPr="00377588">
        <w:rPr>
          <w:b/>
          <w:color w:val="000000"/>
          <w:sz w:val="28"/>
          <w:szCs w:val="28"/>
          <w:u w:val="single"/>
          <w:lang w:val="sr-Cyrl-CS"/>
        </w:rPr>
        <w:t>Биланс успјеха</w:t>
      </w:r>
      <w:r w:rsidRPr="00377588">
        <w:rPr>
          <w:b/>
          <w:color w:val="000000"/>
          <w:u w:val="single"/>
          <w:lang w:val="sr-Cyrl-CS"/>
        </w:rPr>
        <w:t xml:space="preserve">  -Рекапитулација прихода и расхода 2018.г. и 2017.г.</w:t>
      </w:r>
    </w:p>
    <w:p w:rsidR="007D2641" w:rsidRPr="00CF1E71" w:rsidRDefault="007D2641" w:rsidP="007D2641">
      <w:pPr>
        <w:jc w:val="both"/>
        <w:rPr>
          <w:b/>
          <w:color w:val="FF0000"/>
          <w:u w:val="single"/>
          <w:lang w:val="sr-Cyrl-CS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3340"/>
        <w:gridCol w:w="1522"/>
        <w:gridCol w:w="2157"/>
        <w:gridCol w:w="1419"/>
      </w:tblGrid>
      <w:tr w:rsidR="007D2641" w:rsidRPr="00377588" w:rsidTr="00EB455B">
        <w:tc>
          <w:tcPr>
            <w:tcW w:w="737" w:type="dxa"/>
            <w:shd w:val="clear" w:color="auto" w:fill="auto"/>
            <w:vAlign w:val="center"/>
          </w:tcPr>
          <w:p w:rsidR="007D2641" w:rsidRPr="00377588" w:rsidRDefault="007D2641" w:rsidP="00EB455B">
            <w:pPr>
              <w:jc w:val="center"/>
              <w:rPr>
                <w:b/>
                <w:color w:val="000000"/>
                <w:lang w:val="sr-Cyrl-CS"/>
              </w:rPr>
            </w:pPr>
            <w:r w:rsidRPr="00377588">
              <w:rPr>
                <w:b/>
                <w:color w:val="000000"/>
                <w:lang w:val="sr-Cyrl-CS"/>
              </w:rPr>
              <w:t>Р.бр.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7D2641" w:rsidRPr="00377588" w:rsidRDefault="007D2641" w:rsidP="00EB455B">
            <w:pPr>
              <w:jc w:val="center"/>
              <w:rPr>
                <w:b/>
                <w:color w:val="000000"/>
                <w:lang w:val="sr-Cyrl-CS"/>
              </w:rPr>
            </w:pPr>
            <w:r w:rsidRPr="00377588">
              <w:rPr>
                <w:b/>
                <w:color w:val="000000"/>
                <w:lang w:val="sr-Cyrl-CS"/>
              </w:rPr>
              <w:t>О п и с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7D2641" w:rsidRPr="00377588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377588">
              <w:rPr>
                <w:b/>
                <w:color w:val="000000"/>
                <w:lang w:val="sr-Cyrl-CS"/>
              </w:rPr>
              <w:t>31.12.2018.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7D2641" w:rsidRPr="00377588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377588">
              <w:rPr>
                <w:b/>
                <w:color w:val="000000"/>
                <w:lang w:val="sr-Cyrl-CS"/>
              </w:rPr>
              <w:t>31.12.2017.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377588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377588">
              <w:rPr>
                <w:b/>
                <w:color w:val="000000"/>
                <w:lang w:val="sr-Cyrl-CS"/>
              </w:rPr>
              <w:t>Индекс</w:t>
            </w:r>
          </w:p>
          <w:p w:rsidR="007D2641" w:rsidRPr="00377588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377588">
              <w:rPr>
                <w:b/>
                <w:color w:val="000000"/>
                <w:lang w:val="sr-Cyrl-CS"/>
              </w:rPr>
              <w:t>2018/2017.</w:t>
            </w:r>
          </w:p>
        </w:tc>
      </w:tr>
      <w:tr w:rsidR="007D2641" w:rsidRPr="000073AB" w:rsidTr="00EB455B">
        <w:tc>
          <w:tcPr>
            <w:tcW w:w="737" w:type="dxa"/>
            <w:shd w:val="clear" w:color="auto" w:fill="auto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1.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7D2641" w:rsidRPr="000073AB" w:rsidRDefault="007D2641" w:rsidP="00EB455B">
            <w:pPr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Укупни приходи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BA"/>
              </w:rPr>
            </w:pPr>
            <w:r w:rsidRPr="000073AB">
              <w:rPr>
                <w:b/>
                <w:color w:val="000000"/>
                <w:lang w:val="sr-Cyrl-BA"/>
              </w:rPr>
              <w:t>1.683.583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Latn-CS"/>
              </w:rPr>
            </w:pPr>
            <w:r w:rsidRPr="000073AB">
              <w:rPr>
                <w:b/>
                <w:color w:val="000000"/>
                <w:lang w:val="sr-Cyrl-BA"/>
              </w:rPr>
              <w:t>1.705.101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BA"/>
              </w:rPr>
            </w:pPr>
            <w:r w:rsidRPr="000073AB">
              <w:rPr>
                <w:b/>
                <w:color w:val="000000"/>
                <w:lang w:val="sr-Cyrl-BA"/>
              </w:rPr>
              <w:t>98,74</w:t>
            </w:r>
          </w:p>
        </w:tc>
      </w:tr>
      <w:tr w:rsidR="007D2641" w:rsidRPr="000073AB" w:rsidTr="00EB455B">
        <w:trPr>
          <w:trHeight w:val="835"/>
        </w:trPr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CS"/>
              </w:rPr>
            </w:pPr>
          </w:p>
        </w:tc>
        <w:tc>
          <w:tcPr>
            <w:tcW w:w="3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641" w:rsidRPr="000073AB" w:rsidRDefault="007D2641" w:rsidP="00EB455B">
            <w:pPr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 xml:space="preserve">Пословни приходи  </w:t>
            </w:r>
          </w:p>
          <w:p w:rsidR="007D2641" w:rsidRPr="000073AB" w:rsidRDefault="007D2641" w:rsidP="00EB455B">
            <w:pPr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>Финансијски приходи</w:t>
            </w:r>
          </w:p>
          <w:p w:rsidR="007D2641" w:rsidRPr="000073AB" w:rsidRDefault="007D2641" w:rsidP="00EB455B">
            <w:pPr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>Остали приходи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Latn-CS"/>
              </w:rPr>
            </w:pPr>
            <w:r w:rsidRPr="000073AB">
              <w:rPr>
                <w:color w:val="000000"/>
                <w:lang w:val="sr-Latn-CS"/>
              </w:rPr>
              <w:t>1.</w:t>
            </w:r>
            <w:r w:rsidRPr="000073AB">
              <w:rPr>
                <w:color w:val="000000"/>
                <w:lang w:val="sr-Cyrl-BA"/>
              </w:rPr>
              <w:t>634.982</w:t>
            </w:r>
            <w:r w:rsidRPr="000073AB">
              <w:rPr>
                <w:color w:val="000000"/>
                <w:lang w:val="sr-Latn-CS"/>
              </w:rPr>
              <w:t xml:space="preserve">     0       </w:t>
            </w:r>
            <w:r w:rsidRPr="000073AB">
              <w:rPr>
                <w:color w:val="000000"/>
                <w:lang w:val="sr-Cyrl-BA"/>
              </w:rPr>
              <w:t xml:space="preserve">  48.601         </w:t>
            </w:r>
          </w:p>
        </w:tc>
        <w:tc>
          <w:tcPr>
            <w:tcW w:w="2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641" w:rsidRPr="000073AB" w:rsidRDefault="007D2641" w:rsidP="00EB455B">
            <w:pPr>
              <w:rPr>
                <w:color w:val="000000"/>
                <w:lang w:val="sr-Latn-CS"/>
              </w:rPr>
            </w:pPr>
            <w:r w:rsidRPr="000073AB">
              <w:rPr>
                <w:color w:val="000000"/>
                <w:lang w:val="sr-Cyrl-BA"/>
              </w:rPr>
              <w:t xml:space="preserve">                1.651.494</w:t>
            </w:r>
          </w:p>
          <w:p w:rsidR="007D2641" w:rsidRPr="000073AB" w:rsidRDefault="007D2641" w:rsidP="00EB455B">
            <w:pPr>
              <w:rPr>
                <w:color w:val="000000"/>
                <w:lang w:val="sr-Latn-CS"/>
              </w:rPr>
            </w:pPr>
            <w:r w:rsidRPr="000073AB">
              <w:rPr>
                <w:color w:val="000000"/>
                <w:lang w:val="sr-Cyrl-BA"/>
              </w:rPr>
              <w:t xml:space="preserve">                              </w:t>
            </w:r>
            <w:r w:rsidRPr="000073AB">
              <w:rPr>
                <w:color w:val="000000"/>
                <w:lang w:val="sr-Latn-CS"/>
              </w:rPr>
              <w:t>0</w:t>
            </w:r>
          </w:p>
          <w:p w:rsidR="007D2641" w:rsidRPr="000073AB" w:rsidRDefault="007D2641" w:rsidP="00EB455B">
            <w:pPr>
              <w:rPr>
                <w:color w:val="000000"/>
                <w:lang w:val="sr-Latn-CS"/>
              </w:rPr>
            </w:pPr>
            <w:r w:rsidRPr="000073AB">
              <w:rPr>
                <w:color w:val="000000"/>
                <w:lang w:val="sr-Cyrl-BA"/>
              </w:rPr>
              <w:t xml:space="preserve">                     53.607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>99,00</w:t>
            </w:r>
            <w:r w:rsidRPr="000073AB">
              <w:rPr>
                <w:color w:val="000000"/>
                <w:lang w:val="sr-Latn-CS"/>
              </w:rPr>
              <w:t xml:space="preserve">          0        </w:t>
            </w:r>
            <w:r w:rsidRPr="000073AB">
              <w:rPr>
                <w:color w:val="000000"/>
                <w:lang w:val="sr-Cyrl-BA"/>
              </w:rPr>
              <w:t xml:space="preserve">  90,66</w:t>
            </w:r>
          </w:p>
        </w:tc>
      </w:tr>
      <w:tr w:rsidR="007D2641" w:rsidRPr="000073AB" w:rsidTr="00EB455B">
        <w:tc>
          <w:tcPr>
            <w:tcW w:w="737" w:type="dxa"/>
            <w:shd w:val="clear" w:color="auto" w:fill="auto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 xml:space="preserve">2. 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7D2641" w:rsidRPr="000073AB" w:rsidRDefault="007D2641" w:rsidP="00EB455B">
            <w:pPr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Укупни расходи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BA"/>
              </w:rPr>
            </w:pPr>
            <w:r w:rsidRPr="000073AB">
              <w:rPr>
                <w:b/>
                <w:color w:val="000000"/>
                <w:lang w:val="sr-Latn-CS"/>
              </w:rPr>
              <w:t>1.</w:t>
            </w:r>
            <w:r w:rsidRPr="000073AB">
              <w:rPr>
                <w:b/>
                <w:color w:val="000000"/>
                <w:lang w:val="sr-Cyrl-BA"/>
              </w:rPr>
              <w:t>669.015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Latn-CS"/>
              </w:rPr>
            </w:pPr>
            <w:r w:rsidRPr="000073AB">
              <w:rPr>
                <w:b/>
                <w:color w:val="000000"/>
                <w:lang w:val="sr-Cyrl-BA"/>
              </w:rPr>
              <w:t>1.671.412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BA"/>
              </w:rPr>
            </w:pPr>
            <w:r w:rsidRPr="000073AB">
              <w:rPr>
                <w:b/>
                <w:color w:val="000000"/>
                <w:lang w:val="sr-Cyrl-BA"/>
              </w:rPr>
              <w:t>99,86</w:t>
            </w:r>
          </w:p>
        </w:tc>
      </w:tr>
      <w:tr w:rsidR="007D2641" w:rsidRPr="000073AB" w:rsidTr="00EB455B">
        <w:tc>
          <w:tcPr>
            <w:tcW w:w="737" w:type="dxa"/>
            <w:shd w:val="clear" w:color="auto" w:fill="auto"/>
          </w:tcPr>
          <w:p w:rsidR="007D2641" w:rsidRPr="000073AB" w:rsidRDefault="007D2641" w:rsidP="00EB455B">
            <w:pPr>
              <w:rPr>
                <w:color w:val="000000"/>
                <w:lang w:val="sr-Cyrl-CS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p w:rsidR="007D2641" w:rsidRPr="000073AB" w:rsidRDefault="007D2641" w:rsidP="00EB455B">
            <w:pPr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 xml:space="preserve">- Пословни расходи </w:t>
            </w:r>
          </w:p>
          <w:p w:rsidR="007D2641" w:rsidRPr="000073AB" w:rsidRDefault="007D2641" w:rsidP="00EB455B">
            <w:pPr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>- финансијски расходи</w:t>
            </w:r>
          </w:p>
          <w:p w:rsidR="007D2641" w:rsidRPr="000073AB" w:rsidRDefault="007D2641" w:rsidP="00EB455B">
            <w:pPr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>- остали расходи</w:t>
            </w:r>
          </w:p>
          <w:p w:rsidR="007D2641" w:rsidRPr="000073AB" w:rsidRDefault="007D2641" w:rsidP="00EB455B">
            <w:pPr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>- Расходи из ранијих година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Latn-CS"/>
              </w:rPr>
              <w:t>1.</w:t>
            </w:r>
            <w:r w:rsidRPr="000073AB">
              <w:rPr>
                <w:color w:val="000000"/>
                <w:lang w:val="sr-Cyrl-BA"/>
              </w:rPr>
              <w:t>571.628</w:t>
            </w:r>
            <w:r w:rsidRPr="000073AB">
              <w:rPr>
                <w:color w:val="000000"/>
                <w:lang w:val="sr-Latn-CS"/>
              </w:rPr>
              <w:t xml:space="preserve">  </w:t>
            </w:r>
            <w:r w:rsidRPr="000073AB">
              <w:rPr>
                <w:color w:val="000000"/>
                <w:lang w:val="sr-Cyrl-BA"/>
              </w:rPr>
              <w:t xml:space="preserve">21.011           </w:t>
            </w:r>
            <w:r w:rsidRPr="000073AB">
              <w:rPr>
                <w:color w:val="000000"/>
                <w:lang w:val="sr-Latn-CS"/>
              </w:rPr>
              <w:t xml:space="preserve">  </w:t>
            </w:r>
            <w:r w:rsidRPr="000073AB">
              <w:rPr>
                <w:color w:val="000000"/>
                <w:lang w:val="sr-Cyrl-BA"/>
              </w:rPr>
              <w:t xml:space="preserve">       </w:t>
            </w:r>
            <w:r w:rsidRPr="000073AB">
              <w:rPr>
                <w:color w:val="000000"/>
                <w:lang w:val="sr-Latn-CS"/>
              </w:rPr>
              <w:t xml:space="preserve">    </w:t>
            </w:r>
            <w:r w:rsidRPr="000073AB">
              <w:rPr>
                <w:color w:val="000000"/>
                <w:lang w:val="sr-Cyrl-BA"/>
              </w:rPr>
              <w:t xml:space="preserve">    76.378 </w:t>
            </w:r>
          </w:p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 xml:space="preserve">-  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Latn-CS"/>
              </w:rPr>
            </w:pPr>
            <w:r w:rsidRPr="000073AB">
              <w:rPr>
                <w:color w:val="000000"/>
                <w:lang w:val="sr-Cyrl-BA"/>
              </w:rPr>
              <w:t>1.</w:t>
            </w:r>
            <w:r w:rsidRPr="000073AB">
              <w:rPr>
                <w:color w:val="000000"/>
                <w:lang w:val="sr-Latn-CS"/>
              </w:rPr>
              <w:t>4</w:t>
            </w:r>
            <w:r w:rsidRPr="000073AB">
              <w:rPr>
                <w:color w:val="000000"/>
                <w:lang w:val="sr-Cyrl-BA"/>
              </w:rPr>
              <w:t>83.691</w:t>
            </w:r>
          </w:p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>27.925</w:t>
            </w:r>
          </w:p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>159.796</w:t>
            </w:r>
          </w:p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Latn-CS"/>
              </w:rPr>
            </w:pPr>
            <w:r w:rsidRPr="000073AB">
              <w:rPr>
                <w:color w:val="000000"/>
                <w:lang w:val="sr-Cyrl-BA"/>
              </w:rPr>
              <w:t>105,93</w:t>
            </w:r>
            <w:r w:rsidRPr="000073AB">
              <w:rPr>
                <w:color w:val="000000"/>
                <w:lang w:val="sr-Latn-CS"/>
              </w:rPr>
              <w:t xml:space="preserve">    </w:t>
            </w:r>
            <w:r w:rsidRPr="000073AB">
              <w:rPr>
                <w:color w:val="000000"/>
                <w:lang w:val="sr-Cyrl-BA"/>
              </w:rPr>
              <w:t xml:space="preserve">75,24   47,80  </w:t>
            </w:r>
            <w:r w:rsidRPr="000073AB">
              <w:rPr>
                <w:color w:val="000000"/>
                <w:lang w:val="sr-Latn-CS"/>
              </w:rPr>
              <w:t xml:space="preserve">                  -</w:t>
            </w:r>
          </w:p>
        </w:tc>
      </w:tr>
      <w:tr w:rsidR="007D2641" w:rsidRPr="000073AB" w:rsidTr="00EB455B">
        <w:tc>
          <w:tcPr>
            <w:tcW w:w="737" w:type="dxa"/>
            <w:shd w:val="clear" w:color="auto" w:fill="auto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>3.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7D2641" w:rsidRPr="000073AB" w:rsidRDefault="007D2641" w:rsidP="00EB455B">
            <w:pPr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>Добитак прије опорезивања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>14.566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>33</w:t>
            </w:r>
            <w:r w:rsidRPr="000073AB">
              <w:rPr>
                <w:color w:val="000000"/>
                <w:lang w:val="sr-Latn-CS"/>
              </w:rPr>
              <w:t>.</w:t>
            </w:r>
            <w:r w:rsidRPr="000073AB">
              <w:rPr>
                <w:color w:val="000000"/>
                <w:lang w:val="sr-Cyrl-BA"/>
              </w:rPr>
              <w:t>689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>43,24</w:t>
            </w:r>
          </w:p>
        </w:tc>
      </w:tr>
      <w:tr w:rsidR="007D2641" w:rsidRPr="000073AB" w:rsidTr="00EB455B">
        <w:tc>
          <w:tcPr>
            <w:tcW w:w="737" w:type="dxa"/>
            <w:shd w:val="clear" w:color="auto" w:fill="auto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Latn-CS"/>
              </w:rPr>
            </w:pPr>
            <w:r w:rsidRPr="000073AB">
              <w:rPr>
                <w:b/>
                <w:color w:val="000000"/>
                <w:lang w:val="sr-Latn-CS"/>
              </w:rPr>
              <w:t>4.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7D2641" w:rsidRPr="000073AB" w:rsidRDefault="007D2641" w:rsidP="00EB455B">
            <w:pPr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Губитак прије опорезивања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-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Latn-CS"/>
              </w:rPr>
            </w:pPr>
            <w:r w:rsidRPr="000073AB">
              <w:rPr>
                <w:b/>
                <w:color w:val="000000"/>
                <w:lang w:val="sr-Latn-CS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-</w:t>
            </w:r>
          </w:p>
        </w:tc>
      </w:tr>
      <w:tr w:rsidR="007D2641" w:rsidRPr="000073AB" w:rsidTr="00EB455B">
        <w:tc>
          <w:tcPr>
            <w:tcW w:w="737" w:type="dxa"/>
            <w:shd w:val="clear" w:color="auto" w:fill="auto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>5.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7D2641" w:rsidRPr="000073AB" w:rsidRDefault="007D2641" w:rsidP="00EB455B">
            <w:pPr>
              <w:rPr>
                <w:color w:val="000000"/>
                <w:lang w:val="sr-Cyrl-CS"/>
              </w:rPr>
            </w:pPr>
            <w:r w:rsidRPr="000073AB">
              <w:rPr>
                <w:color w:val="000000"/>
                <w:lang w:val="sr-Cyrl-CS"/>
              </w:rPr>
              <w:t>Порез на добит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>5.733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>17.008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color w:val="000000"/>
                <w:lang w:val="sr-Cyrl-BA"/>
              </w:rPr>
            </w:pPr>
            <w:r w:rsidRPr="000073AB">
              <w:rPr>
                <w:color w:val="000000"/>
                <w:lang w:val="sr-Cyrl-BA"/>
              </w:rPr>
              <w:t>33,71</w:t>
            </w:r>
          </w:p>
        </w:tc>
      </w:tr>
      <w:tr w:rsidR="007D2641" w:rsidRPr="000073AB" w:rsidTr="00EB455B">
        <w:tc>
          <w:tcPr>
            <w:tcW w:w="737" w:type="dxa"/>
            <w:shd w:val="clear" w:color="auto" w:fill="auto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6.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7D2641" w:rsidRPr="000073AB" w:rsidRDefault="007D2641" w:rsidP="00EB455B">
            <w:pPr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Нето добит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BA"/>
              </w:rPr>
            </w:pPr>
            <w:r w:rsidRPr="000073AB">
              <w:rPr>
                <w:b/>
                <w:color w:val="000000"/>
                <w:lang w:val="sr-Cyrl-BA"/>
              </w:rPr>
              <w:t>8.833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BA"/>
              </w:rPr>
            </w:pPr>
            <w:r w:rsidRPr="000073AB">
              <w:rPr>
                <w:b/>
                <w:color w:val="000000"/>
                <w:lang w:val="sr-Cyrl-BA"/>
              </w:rPr>
              <w:t>16.681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Latn-BA"/>
              </w:rPr>
            </w:pPr>
            <w:r w:rsidRPr="000073AB">
              <w:rPr>
                <w:b/>
                <w:color w:val="000000"/>
                <w:lang w:val="sr-Cyrl-CS"/>
              </w:rPr>
              <w:t xml:space="preserve"> 52,95</w:t>
            </w:r>
          </w:p>
        </w:tc>
      </w:tr>
      <w:tr w:rsidR="007D2641" w:rsidRPr="000073AB" w:rsidTr="00EB455B">
        <w:tc>
          <w:tcPr>
            <w:tcW w:w="737" w:type="dxa"/>
            <w:shd w:val="clear" w:color="auto" w:fill="auto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7.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7D2641" w:rsidRPr="000073AB" w:rsidRDefault="007D2641" w:rsidP="00EB455B">
            <w:pPr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Нето губитак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-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Latn-CS"/>
              </w:rPr>
            </w:pPr>
            <w:r w:rsidRPr="000073AB">
              <w:rPr>
                <w:b/>
                <w:color w:val="000000"/>
                <w:lang w:val="sr-Latn-CS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073AB" w:rsidRDefault="007D2641" w:rsidP="00EB455B">
            <w:pPr>
              <w:jc w:val="right"/>
              <w:rPr>
                <w:b/>
                <w:color w:val="000000"/>
                <w:lang w:val="sr-Cyrl-CS"/>
              </w:rPr>
            </w:pPr>
            <w:r w:rsidRPr="000073AB">
              <w:rPr>
                <w:b/>
                <w:color w:val="000000"/>
                <w:lang w:val="sr-Cyrl-CS"/>
              </w:rPr>
              <w:t>-</w:t>
            </w:r>
          </w:p>
        </w:tc>
      </w:tr>
    </w:tbl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0073AB" w:rsidRDefault="007D2641" w:rsidP="007D2641">
      <w:pPr>
        <w:jc w:val="both"/>
        <w:rPr>
          <w:color w:val="000000"/>
          <w:u w:val="single"/>
          <w:lang w:val="sr-Cyrl-CS"/>
        </w:rPr>
      </w:pPr>
      <w:r w:rsidRPr="000073AB">
        <w:rPr>
          <w:color w:val="000000"/>
          <w:u w:val="single"/>
          <w:lang w:val="sr-Cyrl-CS"/>
        </w:rPr>
        <w:t>Напомена 1</w:t>
      </w:r>
    </w:p>
    <w:p w:rsidR="007D2641" w:rsidRPr="00821C27" w:rsidRDefault="007D2641" w:rsidP="007D2641">
      <w:pPr>
        <w:jc w:val="both"/>
        <w:rPr>
          <w:color w:val="000000"/>
          <w:lang w:val="sr-Cyrl-CS"/>
        </w:rPr>
      </w:pPr>
      <w:r w:rsidRPr="00821C27">
        <w:rPr>
          <w:color w:val="000000"/>
          <w:lang w:val="sr-Cyrl-CS"/>
        </w:rPr>
        <w:t>Приходи од продаје учинака на домаћем тржишту (АОП 208) као најзначајније позици</w:t>
      </w:r>
      <w:r>
        <w:rPr>
          <w:color w:val="000000"/>
          <w:lang w:val="sr-Cyrl-CS"/>
        </w:rPr>
        <w:t xml:space="preserve">је биланса </w:t>
      </w:r>
      <w:r w:rsidRPr="00821C27">
        <w:rPr>
          <w:color w:val="000000"/>
          <w:lang w:val="sr-Cyrl-CS"/>
        </w:rPr>
        <w:t xml:space="preserve">износе </w:t>
      </w:r>
      <w:r w:rsidRPr="00821C27">
        <w:rPr>
          <w:b/>
          <w:color w:val="000000"/>
          <w:lang w:val="sr-Cyrl-CS"/>
        </w:rPr>
        <w:t>1.</w:t>
      </w:r>
      <w:r w:rsidRPr="00821C27">
        <w:rPr>
          <w:b/>
          <w:color w:val="000000"/>
          <w:lang w:val="sr-Latn-BA"/>
        </w:rPr>
        <w:t>4</w:t>
      </w:r>
      <w:r w:rsidRPr="00821C27">
        <w:rPr>
          <w:b/>
          <w:color w:val="000000"/>
          <w:lang w:val="sr-Cyrl-BA"/>
        </w:rPr>
        <w:t>64</w:t>
      </w:r>
      <w:r w:rsidRPr="00821C27">
        <w:rPr>
          <w:b/>
          <w:color w:val="000000"/>
          <w:lang w:val="sr-Cyrl-CS"/>
        </w:rPr>
        <w:t>.987</w:t>
      </w:r>
      <w:r w:rsidRPr="00821C27">
        <w:rPr>
          <w:color w:val="000000"/>
          <w:lang w:val="sr-Cyrl-CS"/>
        </w:rPr>
        <w:t xml:space="preserve">  КМ, а састоје се од прихода по основу:</w:t>
      </w:r>
    </w:p>
    <w:p w:rsidR="007D2641" w:rsidRPr="00821C27" w:rsidRDefault="007D2641" w:rsidP="007D2641">
      <w:pPr>
        <w:jc w:val="both"/>
        <w:rPr>
          <w:color w:val="000000"/>
          <w:u w:val="single"/>
          <w:lang w:val="sr-Cyrl-CS"/>
        </w:rPr>
      </w:pPr>
      <w:r w:rsidRPr="00821C27">
        <w:rPr>
          <w:color w:val="000000"/>
          <w:lang w:val="sr-Cyrl-CS"/>
        </w:rPr>
        <w:tab/>
      </w:r>
      <w:r w:rsidRPr="00821C27">
        <w:rPr>
          <w:color w:val="000000"/>
          <w:lang w:val="sr-Cyrl-CS"/>
        </w:rPr>
        <w:tab/>
      </w:r>
      <w:r w:rsidRPr="00821C27">
        <w:rPr>
          <w:color w:val="000000"/>
          <w:lang w:val="sr-Cyrl-CS"/>
        </w:rPr>
        <w:tab/>
      </w:r>
      <w:r w:rsidRPr="00821C27">
        <w:rPr>
          <w:color w:val="000000"/>
          <w:lang w:val="sr-Cyrl-CS"/>
        </w:rPr>
        <w:tab/>
      </w:r>
      <w:r w:rsidRPr="00821C27">
        <w:rPr>
          <w:color w:val="000000"/>
          <w:lang w:val="sr-Cyrl-CS"/>
        </w:rPr>
        <w:tab/>
      </w:r>
      <w:r w:rsidRPr="00821C27">
        <w:rPr>
          <w:color w:val="000000"/>
          <w:lang w:val="sr-Cyrl-CS"/>
        </w:rPr>
        <w:tab/>
      </w:r>
      <w:r w:rsidRPr="00821C27">
        <w:rPr>
          <w:color w:val="000000"/>
          <w:u w:val="single"/>
          <w:lang w:val="sr-Cyrl-CS"/>
        </w:rPr>
        <w:t>2018.г.                         2017.г. –у КМ -</w:t>
      </w:r>
      <w:r w:rsidRPr="00821C27">
        <w:rPr>
          <w:color w:val="000000"/>
          <w:u w:val="single"/>
          <w:lang w:val="sr-Cyrl-CS"/>
        </w:rPr>
        <w:tab/>
      </w:r>
    </w:p>
    <w:p w:rsidR="007D2641" w:rsidRPr="00414E68" w:rsidRDefault="007D2641" w:rsidP="007D2641">
      <w:pPr>
        <w:jc w:val="both"/>
        <w:rPr>
          <w:color w:val="000000"/>
          <w:lang w:val="sr-Latn-BA"/>
        </w:rPr>
      </w:pPr>
      <w:r w:rsidRPr="00414E68">
        <w:rPr>
          <w:color w:val="000000"/>
          <w:lang w:val="sr-Cyrl-CS"/>
        </w:rPr>
        <w:t>- Грађевинског земљишта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</w:t>
      </w:r>
      <w:r w:rsidRPr="00414E68">
        <w:rPr>
          <w:color w:val="000000"/>
          <w:lang w:val="sr-Cyrl-BA"/>
        </w:rPr>
        <w:t>25.620</w:t>
      </w:r>
      <w:r w:rsidRPr="00414E68">
        <w:rPr>
          <w:color w:val="000000"/>
          <w:lang w:val="sr-Cyrl-CS"/>
        </w:rPr>
        <w:t xml:space="preserve">         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 37.760</w:t>
      </w:r>
    </w:p>
    <w:p w:rsidR="007D2641" w:rsidRPr="00414E68" w:rsidRDefault="007D2641" w:rsidP="007D2641">
      <w:pPr>
        <w:jc w:val="both"/>
        <w:rPr>
          <w:color w:val="000000"/>
          <w:lang w:val="sr-Cyrl-CS"/>
        </w:rPr>
      </w:pPr>
      <w:r w:rsidRPr="00414E68">
        <w:rPr>
          <w:color w:val="000000"/>
          <w:lang w:val="sr-Cyrl-CS"/>
        </w:rPr>
        <w:t>- Контроле техничке документације</w:t>
      </w:r>
      <w:r w:rsidRPr="00414E68">
        <w:rPr>
          <w:color w:val="000000"/>
          <w:lang w:val="sr-Cyrl-CS"/>
        </w:rPr>
        <w:tab/>
        <w:t xml:space="preserve">  12.408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 </w:t>
      </w:r>
      <w:r w:rsidRPr="00414E68">
        <w:rPr>
          <w:color w:val="000000"/>
          <w:lang w:val="sr-Latn-BA"/>
        </w:rPr>
        <w:t>2</w:t>
      </w:r>
      <w:r w:rsidRPr="00414E68">
        <w:rPr>
          <w:color w:val="000000"/>
          <w:lang w:val="sr-Cyrl-BA"/>
        </w:rPr>
        <w:t>6</w:t>
      </w:r>
      <w:r w:rsidRPr="00414E68">
        <w:rPr>
          <w:color w:val="000000"/>
          <w:lang w:val="sr-Latn-BA"/>
        </w:rPr>
        <w:t>.</w:t>
      </w:r>
      <w:r w:rsidRPr="00414E68">
        <w:rPr>
          <w:color w:val="000000"/>
          <w:lang w:val="sr-Cyrl-BA"/>
        </w:rPr>
        <w:t>278</w:t>
      </w:r>
      <w:r w:rsidRPr="00414E68">
        <w:rPr>
          <w:color w:val="000000"/>
          <w:lang w:val="sr-Cyrl-CS"/>
        </w:rPr>
        <w:t xml:space="preserve"> </w:t>
      </w:r>
    </w:p>
    <w:p w:rsidR="007D2641" w:rsidRPr="00414E68" w:rsidRDefault="007D2641" w:rsidP="007D2641">
      <w:pPr>
        <w:jc w:val="both"/>
        <w:rPr>
          <w:color w:val="000000"/>
          <w:lang w:val="sr-Cyrl-BA"/>
        </w:rPr>
      </w:pPr>
      <w:r w:rsidRPr="00414E68">
        <w:rPr>
          <w:color w:val="000000"/>
          <w:lang w:val="sr-Cyrl-CS"/>
        </w:rPr>
        <w:t>- Урбанистичко техничких услова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BA"/>
        </w:rPr>
        <w:t>240.476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227</w:t>
      </w:r>
      <w:r w:rsidRPr="00414E68">
        <w:rPr>
          <w:color w:val="000000"/>
          <w:lang w:val="sr-Latn-BA"/>
        </w:rPr>
        <w:t>.</w:t>
      </w:r>
      <w:r w:rsidRPr="00414E68">
        <w:rPr>
          <w:color w:val="000000"/>
          <w:lang w:val="sr-Cyrl-BA"/>
        </w:rPr>
        <w:t>867</w:t>
      </w:r>
    </w:p>
    <w:p w:rsidR="007D2641" w:rsidRPr="00414E68" w:rsidRDefault="007D2641" w:rsidP="007D2641">
      <w:pPr>
        <w:jc w:val="both"/>
        <w:rPr>
          <w:color w:val="000000"/>
          <w:lang w:val="sr-Cyrl-CS"/>
        </w:rPr>
      </w:pPr>
      <w:r w:rsidRPr="00414E68">
        <w:rPr>
          <w:color w:val="000000"/>
          <w:lang w:val="sr-Cyrl-CS"/>
        </w:rPr>
        <w:t xml:space="preserve">- Надзор 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>146.177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 14</w:t>
      </w:r>
      <w:r w:rsidRPr="00414E68">
        <w:rPr>
          <w:color w:val="000000"/>
          <w:lang w:val="sr-Latn-BA"/>
        </w:rPr>
        <w:t>.</w:t>
      </w:r>
      <w:r w:rsidRPr="00414E68">
        <w:rPr>
          <w:color w:val="000000"/>
          <w:lang w:val="sr-Cyrl-BA"/>
        </w:rPr>
        <w:t>801</w:t>
      </w:r>
      <w:r w:rsidRPr="00414E68">
        <w:rPr>
          <w:color w:val="000000"/>
          <w:lang w:val="sr-Cyrl-CS"/>
        </w:rPr>
        <w:t xml:space="preserve"> </w:t>
      </w:r>
    </w:p>
    <w:p w:rsidR="007D2641" w:rsidRPr="00414E68" w:rsidRDefault="007D2641" w:rsidP="007D2641">
      <w:pPr>
        <w:jc w:val="both"/>
        <w:rPr>
          <w:color w:val="000000"/>
          <w:lang w:val="sr-Cyrl-BA"/>
        </w:rPr>
      </w:pPr>
      <w:r w:rsidRPr="00414E68">
        <w:rPr>
          <w:color w:val="000000"/>
          <w:lang w:val="sr-Cyrl-CS"/>
        </w:rPr>
        <w:t>- Технички преглед објеката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</w:t>
      </w:r>
      <w:r w:rsidRPr="00414E68">
        <w:rPr>
          <w:color w:val="000000"/>
          <w:lang w:val="sr-Cyrl-BA"/>
        </w:rPr>
        <w:t>51.949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</w:t>
      </w:r>
      <w:r w:rsidRPr="00414E68">
        <w:rPr>
          <w:color w:val="000000"/>
          <w:lang w:val="sr-Latn-BA"/>
        </w:rPr>
        <w:t xml:space="preserve">  </w:t>
      </w:r>
      <w:r w:rsidRPr="00414E68">
        <w:rPr>
          <w:color w:val="000000"/>
          <w:lang w:val="sr-Cyrl-BA"/>
        </w:rPr>
        <w:t>86</w:t>
      </w:r>
      <w:r w:rsidRPr="00414E68">
        <w:rPr>
          <w:color w:val="000000"/>
          <w:lang w:val="sr-Latn-BA"/>
        </w:rPr>
        <w:t>.</w:t>
      </w:r>
      <w:r w:rsidRPr="00414E68">
        <w:rPr>
          <w:color w:val="000000"/>
          <w:lang w:val="sr-Cyrl-BA"/>
        </w:rPr>
        <w:t>842</w:t>
      </w:r>
    </w:p>
    <w:p w:rsidR="007D2641" w:rsidRPr="00414E68" w:rsidRDefault="007D2641" w:rsidP="007D2641">
      <w:pPr>
        <w:jc w:val="both"/>
        <w:rPr>
          <w:color w:val="000000"/>
          <w:lang w:val="sr-Cyrl-CS"/>
        </w:rPr>
      </w:pPr>
      <w:r w:rsidRPr="00414E68">
        <w:rPr>
          <w:color w:val="000000"/>
          <w:lang w:val="sr-Cyrl-CS"/>
        </w:rPr>
        <w:t>- Предмјер и предрачун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     840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     -</w:t>
      </w:r>
    </w:p>
    <w:p w:rsidR="007D2641" w:rsidRPr="00414E68" w:rsidRDefault="007D2641" w:rsidP="007D2641">
      <w:pPr>
        <w:jc w:val="both"/>
        <w:rPr>
          <w:color w:val="000000"/>
          <w:lang w:val="sr-Latn-BA"/>
        </w:rPr>
      </w:pPr>
      <w:r w:rsidRPr="00414E68">
        <w:rPr>
          <w:color w:val="000000"/>
          <w:lang w:val="sr-Cyrl-CS"/>
        </w:rPr>
        <w:t>- Пројектовање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                      </w:t>
      </w:r>
      <w:r w:rsidRPr="00414E68">
        <w:rPr>
          <w:color w:val="000000"/>
          <w:lang w:val="sr-Cyrl-BA"/>
        </w:rPr>
        <w:t>204.110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326.963</w:t>
      </w:r>
    </w:p>
    <w:p w:rsidR="007D2641" w:rsidRPr="00414E68" w:rsidRDefault="007D2641" w:rsidP="007D2641">
      <w:pPr>
        <w:jc w:val="both"/>
        <w:rPr>
          <w:color w:val="000000"/>
          <w:lang w:val="sr-Cyrl-BA"/>
        </w:rPr>
      </w:pPr>
      <w:r w:rsidRPr="00414E68">
        <w:rPr>
          <w:color w:val="000000"/>
          <w:lang w:val="sr-Cyrl-CS"/>
        </w:rPr>
        <w:t>- Приходи – остали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11.406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 1</w:t>
      </w:r>
      <w:r w:rsidRPr="00414E68">
        <w:rPr>
          <w:color w:val="000000"/>
          <w:lang w:val="sr-Cyrl-BA"/>
        </w:rPr>
        <w:t>3</w:t>
      </w:r>
      <w:r w:rsidRPr="00414E68">
        <w:rPr>
          <w:color w:val="000000"/>
          <w:lang w:val="sr-Latn-BA"/>
        </w:rPr>
        <w:t>.</w:t>
      </w:r>
      <w:r w:rsidRPr="00414E68">
        <w:rPr>
          <w:color w:val="000000"/>
          <w:lang w:val="sr-Cyrl-BA"/>
        </w:rPr>
        <w:t>332</w:t>
      </w:r>
    </w:p>
    <w:p w:rsidR="007D2641" w:rsidRPr="00414E68" w:rsidRDefault="007D2641" w:rsidP="007D2641">
      <w:pPr>
        <w:jc w:val="both"/>
        <w:rPr>
          <w:color w:val="000000"/>
          <w:lang w:val="sr-Cyrl-BA"/>
        </w:rPr>
      </w:pPr>
      <w:r w:rsidRPr="00414E68">
        <w:rPr>
          <w:color w:val="000000"/>
          <w:lang w:val="sr-Cyrl-CS"/>
        </w:rPr>
        <w:t>- Паркирање - СМС поруке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          </w:t>
      </w:r>
      <w:r w:rsidRPr="00414E68">
        <w:rPr>
          <w:color w:val="000000"/>
          <w:lang w:val="sr-Cyrl-BA"/>
        </w:rPr>
        <w:t>404.561</w:t>
      </w:r>
      <w:r w:rsidRPr="00414E68">
        <w:rPr>
          <w:color w:val="000000"/>
          <w:lang w:val="sr-Cyrl-CS"/>
        </w:rPr>
        <w:tab/>
        <w:t xml:space="preserve">             402</w:t>
      </w:r>
      <w:r w:rsidRPr="00414E68">
        <w:rPr>
          <w:color w:val="000000"/>
          <w:lang w:val="sr-Latn-BA"/>
        </w:rPr>
        <w:t>.</w:t>
      </w:r>
      <w:r w:rsidRPr="00414E68">
        <w:rPr>
          <w:color w:val="000000"/>
          <w:lang w:val="sr-Cyrl-BA"/>
        </w:rPr>
        <w:t>922</w:t>
      </w:r>
    </w:p>
    <w:p w:rsidR="007D2641" w:rsidRPr="00414E68" w:rsidRDefault="007D2641" w:rsidP="007D2641">
      <w:pPr>
        <w:jc w:val="both"/>
        <w:rPr>
          <w:color w:val="000000"/>
          <w:lang w:val="sr-Cyrl-BA"/>
        </w:rPr>
      </w:pPr>
      <w:r w:rsidRPr="00414E68">
        <w:rPr>
          <w:color w:val="000000"/>
          <w:lang w:val="sr-Cyrl-CS"/>
        </w:rPr>
        <w:t>- Продаја карата Зона 1 БН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</w:t>
      </w:r>
      <w:r w:rsidRPr="00414E68">
        <w:rPr>
          <w:color w:val="000000"/>
          <w:lang w:val="sr-Cyrl-CS"/>
        </w:rPr>
        <w:tab/>
        <w:t>174.733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</w:t>
      </w:r>
      <w:r w:rsidRPr="00414E68">
        <w:rPr>
          <w:color w:val="000000"/>
          <w:lang w:val="sr-Latn-BA"/>
        </w:rPr>
        <w:t>148.870</w:t>
      </w:r>
    </w:p>
    <w:p w:rsidR="007D2641" w:rsidRPr="00414E68" w:rsidRDefault="007D2641" w:rsidP="007D2641">
      <w:pPr>
        <w:jc w:val="both"/>
        <w:rPr>
          <w:color w:val="000000"/>
          <w:lang w:val="sr-Latn-BA"/>
        </w:rPr>
      </w:pPr>
      <w:r w:rsidRPr="00414E68">
        <w:rPr>
          <w:color w:val="000000"/>
          <w:lang w:val="sr-Cyrl-CS"/>
        </w:rPr>
        <w:t>- Продаја карата Зона 2 БН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</w:t>
      </w:r>
      <w:r w:rsidRPr="00414E68">
        <w:rPr>
          <w:color w:val="000000"/>
          <w:lang w:val="sr-Cyrl-CS"/>
        </w:rPr>
        <w:tab/>
        <w:t xml:space="preserve">  </w:t>
      </w:r>
      <w:r w:rsidRPr="00414E68">
        <w:rPr>
          <w:color w:val="000000"/>
          <w:lang w:val="sr-Cyrl-BA"/>
        </w:rPr>
        <w:t xml:space="preserve">  8.108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 10.254</w:t>
      </w:r>
    </w:p>
    <w:p w:rsidR="007D2641" w:rsidRPr="00414E68" w:rsidRDefault="007D2641" w:rsidP="007D2641">
      <w:pPr>
        <w:jc w:val="both"/>
        <w:rPr>
          <w:color w:val="000000"/>
          <w:lang w:val="sr-Latn-BA"/>
        </w:rPr>
      </w:pPr>
      <w:r w:rsidRPr="00414E68">
        <w:rPr>
          <w:color w:val="000000"/>
          <w:lang w:val="sr-Cyrl-CS"/>
        </w:rPr>
        <w:t>- Продаја карата Зона 2 дневна</w:t>
      </w:r>
      <w:r w:rsidRPr="00414E68">
        <w:rPr>
          <w:color w:val="000000"/>
          <w:lang w:val="sr-Cyrl-CS"/>
        </w:rPr>
        <w:tab/>
        <w:t xml:space="preserve"> </w:t>
      </w:r>
      <w:r w:rsidRPr="00414E68">
        <w:rPr>
          <w:color w:val="000000"/>
          <w:lang w:val="sr-Cyrl-CS"/>
        </w:rPr>
        <w:tab/>
        <w:t xml:space="preserve">  12.082</w:t>
      </w:r>
      <w:r w:rsidRPr="00414E68">
        <w:rPr>
          <w:color w:val="000000"/>
          <w:lang w:val="sr-Cyrl-BA"/>
        </w:rPr>
        <w:t xml:space="preserve">         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  </w:t>
      </w:r>
      <w:r w:rsidRPr="00414E68">
        <w:rPr>
          <w:color w:val="000000"/>
          <w:lang w:val="sr-Latn-BA"/>
        </w:rPr>
        <w:t>1</w:t>
      </w:r>
      <w:r w:rsidRPr="00414E68">
        <w:rPr>
          <w:color w:val="000000"/>
          <w:lang w:val="sr-Cyrl-BA"/>
        </w:rPr>
        <w:t>0</w:t>
      </w:r>
      <w:r w:rsidRPr="00414E68">
        <w:rPr>
          <w:color w:val="000000"/>
          <w:lang w:val="sr-Cyrl-CS"/>
        </w:rPr>
        <w:t>.333</w:t>
      </w:r>
    </w:p>
    <w:p w:rsidR="007D2641" w:rsidRPr="00414E68" w:rsidRDefault="007D2641" w:rsidP="007D2641">
      <w:pPr>
        <w:jc w:val="both"/>
        <w:rPr>
          <w:color w:val="000000"/>
          <w:lang w:val="sr-Cyrl-BA"/>
        </w:rPr>
      </w:pPr>
      <w:r w:rsidRPr="00414E68">
        <w:rPr>
          <w:color w:val="000000"/>
          <w:lang w:val="sr-Cyrl-CS"/>
        </w:rPr>
        <w:t>- Повлашћене карте БН</w:t>
      </w:r>
      <w:r w:rsidRPr="00414E68">
        <w:rPr>
          <w:color w:val="000000"/>
          <w:lang w:val="sr-Cyrl-CS"/>
        </w:rPr>
        <w:tab/>
      </w:r>
      <w:r w:rsidRPr="00414E68">
        <w:rPr>
          <w:color w:val="000000"/>
          <w:lang w:val="sr-Cyrl-CS"/>
        </w:rPr>
        <w:tab/>
        <w:t xml:space="preserve"> </w:t>
      </w:r>
      <w:r w:rsidRPr="00414E68">
        <w:rPr>
          <w:color w:val="000000"/>
          <w:lang w:val="sr-Cyrl-CS"/>
        </w:rPr>
        <w:tab/>
        <w:t xml:space="preserve">  26.899                          2</w:t>
      </w:r>
      <w:r w:rsidRPr="00414E68">
        <w:rPr>
          <w:color w:val="000000"/>
          <w:lang w:val="sr-Latn-BA"/>
        </w:rPr>
        <w:t>7.</w:t>
      </w:r>
      <w:r w:rsidRPr="00414E68">
        <w:rPr>
          <w:color w:val="000000"/>
          <w:lang w:val="sr-Cyrl-BA"/>
        </w:rPr>
        <w:t>780</w:t>
      </w:r>
    </w:p>
    <w:p w:rsidR="007D2641" w:rsidRPr="003E16F8" w:rsidRDefault="007D2641" w:rsidP="007D2641">
      <w:pPr>
        <w:jc w:val="both"/>
        <w:rPr>
          <w:color w:val="000000"/>
          <w:lang w:val="sr-Cyrl-BA"/>
        </w:rPr>
      </w:pPr>
      <w:r w:rsidRPr="003E16F8">
        <w:rPr>
          <w:color w:val="000000"/>
          <w:lang w:val="sr-Cyrl-CS"/>
        </w:rPr>
        <w:t>- Претплатне карте БН</w:t>
      </w:r>
      <w:r w:rsidRPr="003E16F8">
        <w:rPr>
          <w:color w:val="000000"/>
          <w:lang w:val="sr-Cyrl-CS"/>
        </w:rPr>
        <w:tab/>
      </w:r>
      <w:r w:rsidRPr="003E16F8">
        <w:rPr>
          <w:color w:val="000000"/>
          <w:lang w:val="sr-Cyrl-CS"/>
        </w:rPr>
        <w:tab/>
        <w:t xml:space="preserve">   </w:t>
      </w:r>
      <w:r w:rsidRPr="003E16F8">
        <w:rPr>
          <w:color w:val="000000"/>
          <w:lang w:val="sr-Cyrl-CS"/>
        </w:rPr>
        <w:tab/>
        <w:t xml:space="preserve">    </w:t>
      </w:r>
      <w:r w:rsidRPr="003E16F8">
        <w:rPr>
          <w:color w:val="000000"/>
          <w:lang w:val="sr-Latn-BA"/>
        </w:rPr>
        <w:t>3.</w:t>
      </w:r>
      <w:r w:rsidRPr="003E16F8">
        <w:rPr>
          <w:color w:val="000000"/>
          <w:lang w:val="sr-Cyrl-BA"/>
        </w:rPr>
        <w:t xml:space="preserve">898      </w:t>
      </w:r>
      <w:r w:rsidRPr="003E16F8">
        <w:rPr>
          <w:color w:val="000000"/>
          <w:lang w:val="sr-Cyrl-CS"/>
        </w:rPr>
        <w:tab/>
        <w:t xml:space="preserve">  </w:t>
      </w:r>
      <w:r w:rsidRPr="003E16F8">
        <w:rPr>
          <w:color w:val="000000"/>
          <w:lang w:val="sr-Cyrl-CS"/>
        </w:rPr>
        <w:tab/>
        <w:t xml:space="preserve">     3</w:t>
      </w:r>
      <w:r w:rsidRPr="003E16F8">
        <w:rPr>
          <w:color w:val="000000"/>
          <w:lang w:val="sr-Latn-BA"/>
        </w:rPr>
        <w:t>.</w:t>
      </w:r>
      <w:r w:rsidRPr="003E16F8">
        <w:rPr>
          <w:color w:val="000000"/>
          <w:lang w:val="sr-Cyrl-BA"/>
        </w:rPr>
        <w:t>2</w:t>
      </w:r>
      <w:r w:rsidRPr="003E16F8">
        <w:rPr>
          <w:color w:val="000000"/>
          <w:lang w:val="sr-Latn-BA"/>
        </w:rPr>
        <w:t>8</w:t>
      </w:r>
      <w:r w:rsidRPr="003E16F8">
        <w:rPr>
          <w:color w:val="000000"/>
          <w:lang w:val="sr-Cyrl-BA"/>
        </w:rPr>
        <w:t>2</w:t>
      </w:r>
    </w:p>
    <w:p w:rsidR="007D2641" w:rsidRPr="003E16F8" w:rsidRDefault="007D2641" w:rsidP="007D2641">
      <w:pPr>
        <w:jc w:val="both"/>
        <w:rPr>
          <w:color w:val="000000"/>
          <w:lang w:val="sr-Cyrl-BA"/>
        </w:rPr>
      </w:pPr>
      <w:r w:rsidRPr="003E16F8">
        <w:rPr>
          <w:color w:val="000000"/>
          <w:lang w:val="sr-Cyrl-CS"/>
        </w:rPr>
        <w:lastRenderedPageBreak/>
        <w:t>- Универзалне карте БН</w:t>
      </w:r>
      <w:r w:rsidRPr="003E16F8">
        <w:rPr>
          <w:color w:val="000000"/>
          <w:lang w:val="sr-Cyrl-CS"/>
        </w:rPr>
        <w:tab/>
      </w:r>
      <w:r w:rsidRPr="003E16F8">
        <w:rPr>
          <w:color w:val="000000"/>
          <w:lang w:val="sr-Cyrl-CS"/>
        </w:rPr>
        <w:tab/>
        <w:t xml:space="preserve"> </w:t>
      </w:r>
      <w:r w:rsidRPr="003E16F8">
        <w:rPr>
          <w:color w:val="000000"/>
          <w:lang w:val="sr-Cyrl-CS"/>
        </w:rPr>
        <w:tab/>
        <w:t xml:space="preserve">  2</w:t>
      </w:r>
      <w:r w:rsidRPr="003E16F8">
        <w:rPr>
          <w:color w:val="000000"/>
          <w:lang w:val="sr-Cyrl-BA"/>
        </w:rPr>
        <w:t>7.076</w:t>
      </w:r>
      <w:r w:rsidRPr="003E16F8">
        <w:rPr>
          <w:color w:val="000000"/>
          <w:lang w:val="sr-Cyrl-CS"/>
        </w:rPr>
        <w:tab/>
        <w:t xml:space="preserve">   </w:t>
      </w:r>
      <w:r w:rsidRPr="003E16F8">
        <w:rPr>
          <w:color w:val="000000"/>
          <w:lang w:val="sr-Cyrl-CS"/>
        </w:rPr>
        <w:tab/>
        <w:t xml:space="preserve">   22</w:t>
      </w:r>
      <w:r w:rsidRPr="003E16F8">
        <w:rPr>
          <w:color w:val="000000"/>
          <w:lang w:val="sr-Latn-BA"/>
        </w:rPr>
        <w:t>.</w:t>
      </w:r>
      <w:r w:rsidRPr="003E16F8">
        <w:rPr>
          <w:color w:val="000000"/>
          <w:lang w:val="sr-Cyrl-BA"/>
        </w:rPr>
        <w:t>410</w:t>
      </w:r>
    </w:p>
    <w:p w:rsidR="007D2641" w:rsidRPr="003E16F8" w:rsidRDefault="007D2641" w:rsidP="007D2641">
      <w:pPr>
        <w:jc w:val="both"/>
        <w:rPr>
          <w:color w:val="000000"/>
          <w:lang w:val="sr-Cyrl-BA"/>
        </w:rPr>
      </w:pPr>
      <w:r w:rsidRPr="003E16F8">
        <w:rPr>
          <w:color w:val="000000"/>
          <w:lang w:val="sr-Cyrl-CS"/>
        </w:rPr>
        <w:t>- Доплатне карте БН</w:t>
      </w:r>
      <w:r w:rsidRPr="003E16F8">
        <w:rPr>
          <w:color w:val="000000"/>
          <w:lang w:val="sr-Cyrl-CS"/>
        </w:rPr>
        <w:tab/>
      </w:r>
      <w:r w:rsidRPr="003E16F8">
        <w:rPr>
          <w:color w:val="000000"/>
          <w:lang w:val="sr-Cyrl-CS"/>
        </w:rPr>
        <w:tab/>
      </w:r>
      <w:r w:rsidRPr="003E16F8">
        <w:rPr>
          <w:color w:val="000000"/>
          <w:lang w:val="sr-Cyrl-CS"/>
        </w:rPr>
        <w:tab/>
        <w:t xml:space="preserve">            1</w:t>
      </w:r>
      <w:r w:rsidRPr="003E16F8">
        <w:rPr>
          <w:color w:val="000000"/>
          <w:lang w:val="sr-Cyrl-BA"/>
        </w:rPr>
        <w:t>06.439</w:t>
      </w:r>
      <w:r w:rsidRPr="003E16F8">
        <w:rPr>
          <w:color w:val="000000"/>
          <w:lang w:val="sr-Cyrl-CS"/>
        </w:rPr>
        <w:tab/>
        <w:t xml:space="preserve">             11</w:t>
      </w:r>
      <w:r w:rsidRPr="003E16F8">
        <w:rPr>
          <w:color w:val="000000"/>
          <w:lang w:val="sr-Latn-BA"/>
        </w:rPr>
        <w:t>0.</w:t>
      </w:r>
      <w:r w:rsidRPr="003E16F8">
        <w:rPr>
          <w:color w:val="000000"/>
          <w:lang w:val="sr-Cyrl-BA"/>
        </w:rPr>
        <w:t>116</w:t>
      </w:r>
    </w:p>
    <w:p w:rsidR="007D2641" w:rsidRPr="003E16F8" w:rsidRDefault="007D2641" w:rsidP="007D2641">
      <w:pPr>
        <w:jc w:val="both"/>
        <w:rPr>
          <w:color w:val="000000"/>
          <w:lang w:val="sr-Cyrl-BA"/>
        </w:rPr>
      </w:pPr>
      <w:r w:rsidRPr="003E16F8">
        <w:rPr>
          <w:color w:val="000000"/>
          <w:lang w:val="sr-Cyrl-CS"/>
        </w:rPr>
        <w:t>- Резервнисаних мјеста БН</w:t>
      </w:r>
      <w:r w:rsidRPr="003E16F8">
        <w:rPr>
          <w:color w:val="000000"/>
          <w:lang w:val="sr-Cyrl-CS"/>
        </w:rPr>
        <w:tab/>
      </w:r>
      <w:r w:rsidRPr="003E16F8">
        <w:rPr>
          <w:color w:val="000000"/>
          <w:lang w:val="sr-Cyrl-CS"/>
        </w:rPr>
        <w:tab/>
        <w:t xml:space="preserve">   </w:t>
      </w:r>
      <w:r w:rsidRPr="003E16F8">
        <w:rPr>
          <w:color w:val="000000"/>
          <w:lang w:val="sr-Cyrl-CS"/>
        </w:rPr>
        <w:tab/>
        <w:t xml:space="preserve">    7.179                          </w:t>
      </w:r>
      <w:r w:rsidRPr="003E16F8">
        <w:rPr>
          <w:color w:val="000000"/>
          <w:lang w:val="sr-Latn-BA"/>
        </w:rPr>
        <w:t>10.</w:t>
      </w:r>
      <w:r w:rsidRPr="003E16F8">
        <w:rPr>
          <w:color w:val="000000"/>
          <w:lang w:val="sr-Cyrl-BA"/>
        </w:rPr>
        <w:t>940</w:t>
      </w:r>
    </w:p>
    <w:p w:rsidR="007D2641" w:rsidRPr="003E16F8" w:rsidRDefault="007D2641" w:rsidP="007D2641">
      <w:pPr>
        <w:jc w:val="both"/>
        <w:rPr>
          <w:color w:val="000000"/>
          <w:lang w:val="sr-Cyrl-CS"/>
        </w:rPr>
      </w:pPr>
      <w:r w:rsidRPr="003E16F8">
        <w:rPr>
          <w:color w:val="000000"/>
          <w:lang w:val="sr-Cyrl-CS"/>
        </w:rPr>
        <w:t>- Блокада возила</w:t>
      </w:r>
      <w:r w:rsidRPr="003E16F8">
        <w:rPr>
          <w:color w:val="000000"/>
          <w:lang w:val="sr-Cyrl-CS"/>
        </w:rPr>
        <w:tab/>
      </w:r>
      <w:r w:rsidRPr="003E16F8">
        <w:rPr>
          <w:color w:val="000000"/>
          <w:lang w:val="sr-Cyrl-CS"/>
        </w:rPr>
        <w:tab/>
      </w:r>
      <w:r w:rsidRPr="003E16F8">
        <w:rPr>
          <w:color w:val="000000"/>
          <w:lang w:val="sr-Cyrl-CS"/>
        </w:rPr>
        <w:tab/>
      </w:r>
      <w:r w:rsidRPr="003E16F8">
        <w:rPr>
          <w:color w:val="000000"/>
          <w:lang w:val="sr-Cyrl-CS"/>
        </w:rPr>
        <w:tab/>
      </w:r>
      <w:r w:rsidRPr="003E16F8">
        <w:rPr>
          <w:color w:val="000000"/>
          <w:u w:val="single"/>
          <w:lang w:val="sr-Cyrl-CS"/>
        </w:rPr>
        <w:t xml:space="preserve">    1.026 </w:t>
      </w:r>
      <w:r w:rsidRPr="003E16F8">
        <w:rPr>
          <w:color w:val="000000"/>
          <w:u w:val="single"/>
          <w:lang w:val="sr-Latn-BA"/>
        </w:rPr>
        <w:t xml:space="preserve">   </w:t>
      </w:r>
      <w:r w:rsidRPr="003E16F8">
        <w:rPr>
          <w:color w:val="000000"/>
          <w:u w:val="single"/>
          <w:lang w:val="sr-Cyrl-CS"/>
        </w:rPr>
        <w:tab/>
      </w:r>
      <w:r w:rsidRPr="003E16F8">
        <w:rPr>
          <w:color w:val="000000"/>
          <w:u w:val="single"/>
          <w:lang w:val="sr-Cyrl-CS"/>
        </w:rPr>
        <w:tab/>
        <w:t xml:space="preserve">        744</w:t>
      </w:r>
      <w:r w:rsidRPr="003E16F8">
        <w:rPr>
          <w:color w:val="000000"/>
          <w:lang w:val="sr-Cyrl-CS"/>
        </w:rPr>
        <w:t xml:space="preserve"> </w:t>
      </w:r>
    </w:p>
    <w:p w:rsidR="007D2641" w:rsidRPr="003E16F8" w:rsidRDefault="007D2641" w:rsidP="007D2641">
      <w:pPr>
        <w:jc w:val="both"/>
        <w:rPr>
          <w:b/>
          <w:color w:val="000000"/>
          <w:lang w:val="sr-Cyrl-CS"/>
        </w:rPr>
      </w:pPr>
      <w:r w:rsidRPr="00CF1E71">
        <w:rPr>
          <w:color w:val="FF0000"/>
          <w:lang w:val="sr-Cyrl-CS"/>
        </w:rPr>
        <w:tab/>
      </w:r>
      <w:r w:rsidRPr="00CF1E71">
        <w:rPr>
          <w:color w:val="FF0000"/>
          <w:lang w:val="sr-Cyrl-CS"/>
        </w:rPr>
        <w:tab/>
      </w:r>
      <w:r w:rsidRPr="00CF1E71">
        <w:rPr>
          <w:color w:val="FF0000"/>
          <w:lang w:val="sr-Cyrl-CS"/>
        </w:rPr>
        <w:tab/>
      </w:r>
      <w:r w:rsidRPr="00CF1E71">
        <w:rPr>
          <w:color w:val="FF0000"/>
          <w:lang w:val="sr-Cyrl-CS"/>
        </w:rPr>
        <w:tab/>
      </w:r>
      <w:r w:rsidRPr="00CF1E71">
        <w:rPr>
          <w:color w:val="FF0000"/>
          <w:lang w:val="sr-Cyrl-CS"/>
        </w:rPr>
        <w:tab/>
      </w:r>
      <w:r w:rsidRPr="003E16F8">
        <w:rPr>
          <w:b/>
          <w:color w:val="000000"/>
          <w:lang w:val="sr-Cyrl-CS"/>
        </w:rPr>
        <w:t xml:space="preserve">          1.</w:t>
      </w:r>
      <w:r w:rsidRPr="003E16F8">
        <w:rPr>
          <w:b/>
          <w:color w:val="000000"/>
          <w:lang w:val="sr-Latn-BA"/>
        </w:rPr>
        <w:t>4</w:t>
      </w:r>
      <w:r w:rsidRPr="003E16F8">
        <w:rPr>
          <w:b/>
          <w:color w:val="000000"/>
          <w:lang w:val="sr-Cyrl-BA"/>
        </w:rPr>
        <w:t>64.987</w:t>
      </w:r>
      <w:r w:rsidRPr="003E16F8">
        <w:rPr>
          <w:b/>
          <w:color w:val="000000"/>
          <w:lang w:val="sr-Cyrl-CS"/>
        </w:rPr>
        <w:tab/>
        <w:t xml:space="preserve">          1.481.494 </w:t>
      </w:r>
    </w:p>
    <w:p w:rsidR="007D2641" w:rsidRPr="00CF1E71" w:rsidRDefault="007D2641" w:rsidP="007D2641">
      <w:pPr>
        <w:jc w:val="both"/>
        <w:rPr>
          <w:b/>
          <w:color w:val="FF0000"/>
          <w:lang w:val="sr-Cyrl-CS"/>
        </w:rPr>
      </w:pPr>
    </w:p>
    <w:p w:rsidR="007D2641" w:rsidRPr="00CF1E71" w:rsidRDefault="007D2641" w:rsidP="007D2641">
      <w:pPr>
        <w:jc w:val="both"/>
        <w:rPr>
          <w:color w:val="FF0000"/>
          <w:lang w:val="sr-Cyrl-CS"/>
        </w:rPr>
      </w:pPr>
      <w:r w:rsidRPr="00CF1E71">
        <w:rPr>
          <w:color w:val="FF0000"/>
          <w:lang w:val="sr-Cyrl-CS"/>
        </w:rPr>
        <w:tab/>
      </w:r>
      <w:r w:rsidRPr="00CF1E71">
        <w:rPr>
          <w:color w:val="FF0000"/>
          <w:lang w:val="sr-Cyrl-CS"/>
        </w:rPr>
        <w:tab/>
      </w:r>
    </w:p>
    <w:p w:rsidR="007D2641" w:rsidRPr="00F324E2" w:rsidRDefault="007D2641" w:rsidP="007D2641">
      <w:pPr>
        <w:jc w:val="both"/>
        <w:rPr>
          <w:color w:val="000000"/>
          <w:lang w:val="sr-Cyrl-CS"/>
        </w:rPr>
      </w:pPr>
      <w:r w:rsidRPr="00F324E2">
        <w:rPr>
          <w:color w:val="000000"/>
          <w:lang w:val="sr-Cyrl-CS"/>
        </w:rPr>
        <w:t xml:space="preserve">Приходи од грађевинског земљишта се односе на процјене општинске имовине и уређења земљишта.У поређењу са 2017.годином индекс је 67,85%. 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5A6C6C" w:rsidRDefault="007D2641" w:rsidP="007D2641">
      <w:pPr>
        <w:jc w:val="both"/>
        <w:rPr>
          <w:color w:val="000000"/>
          <w:lang w:val="sr-Cyrl-CS"/>
        </w:rPr>
      </w:pPr>
      <w:r w:rsidRPr="005A6C6C">
        <w:rPr>
          <w:color w:val="000000"/>
          <w:lang w:val="sr-Cyrl-CS"/>
        </w:rPr>
        <w:t>Приходи од контроле техничке документације су мањи, индекс је 47,</w:t>
      </w:r>
      <w:r w:rsidRPr="005A6C6C">
        <w:rPr>
          <w:color w:val="000000"/>
          <w:lang w:val="sr-Latn-BA"/>
        </w:rPr>
        <w:t>2</w:t>
      </w:r>
      <w:r w:rsidRPr="005A6C6C">
        <w:rPr>
          <w:color w:val="000000"/>
          <w:lang w:val="sr-Cyrl-BA"/>
        </w:rPr>
        <w:t>2</w:t>
      </w:r>
      <w:r w:rsidRPr="005A6C6C">
        <w:rPr>
          <w:color w:val="000000"/>
          <w:lang w:val="sr-Cyrl-CS"/>
        </w:rPr>
        <w:t>% и на те приходе не можемо утицати.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442F8D" w:rsidRDefault="007D2641" w:rsidP="007D2641">
      <w:pPr>
        <w:jc w:val="both"/>
        <w:rPr>
          <w:color w:val="000000"/>
          <w:lang w:val="sr-Cyrl-CS"/>
        </w:rPr>
      </w:pPr>
      <w:r w:rsidRPr="00442F8D">
        <w:rPr>
          <w:color w:val="000000"/>
          <w:lang w:val="sr-Cyrl-CS"/>
        </w:rPr>
        <w:t xml:space="preserve">Урбанистичко технички услови су већи, индекс је  </w:t>
      </w:r>
      <w:r w:rsidRPr="00442F8D">
        <w:rPr>
          <w:color w:val="000000"/>
          <w:lang w:val="sr-Latn-BA"/>
        </w:rPr>
        <w:t>1</w:t>
      </w:r>
      <w:r w:rsidRPr="00442F8D">
        <w:rPr>
          <w:color w:val="000000"/>
          <w:lang w:val="sr-Cyrl-BA"/>
        </w:rPr>
        <w:t>05</w:t>
      </w:r>
      <w:r w:rsidRPr="00442F8D">
        <w:rPr>
          <w:color w:val="000000"/>
          <w:lang w:val="sr-Cyrl-CS"/>
        </w:rPr>
        <w:t>,</w:t>
      </w:r>
      <w:r w:rsidRPr="00442F8D">
        <w:rPr>
          <w:color w:val="000000"/>
          <w:lang w:val="sr-Latn-BA"/>
        </w:rPr>
        <w:t>5</w:t>
      </w:r>
      <w:r w:rsidRPr="00442F8D">
        <w:rPr>
          <w:color w:val="000000"/>
          <w:lang w:val="sr-Cyrl-BA"/>
        </w:rPr>
        <w:t>3</w:t>
      </w:r>
      <w:r w:rsidRPr="00442F8D">
        <w:rPr>
          <w:color w:val="000000"/>
          <w:lang w:val="sr-Cyrl-CS"/>
        </w:rPr>
        <w:t xml:space="preserve">%, у односу на претходну годину. 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262C5B" w:rsidRDefault="007D2641" w:rsidP="007D2641">
      <w:pPr>
        <w:jc w:val="both"/>
        <w:rPr>
          <w:color w:val="000000"/>
          <w:lang w:val="sr-Cyrl-CS"/>
        </w:rPr>
      </w:pPr>
      <w:r w:rsidRPr="00262C5B">
        <w:rPr>
          <w:color w:val="000000"/>
          <w:lang w:val="sr-Cyrl-CS"/>
        </w:rPr>
        <w:t>Приходи од надзора су већи од  прошлогодишњих, индекс 987</w:t>
      </w:r>
      <w:r w:rsidRPr="00262C5B">
        <w:rPr>
          <w:color w:val="000000"/>
          <w:lang w:val="sr-Latn-BA"/>
        </w:rPr>
        <w:t>,6</w:t>
      </w:r>
      <w:r w:rsidRPr="00262C5B">
        <w:rPr>
          <w:color w:val="000000"/>
          <w:lang w:val="sr-Cyrl-BA"/>
        </w:rPr>
        <w:t>2</w:t>
      </w:r>
      <w:r w:rsidRPr="00262C5B">
        <w:rPr>
          <w:color w:val="000000"/>
          <w:lang w:val="sr-Cyrl-CS"/>
        </w:rPr>
        <w:t>%.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262C5B" w:rsidRDefault="007D2641" w:rsidP="007D2641">
      <w:pPr>
        <w:jc w:val="both"/>
        <w:rPr>
          <w:color w:val="000000"/>
          <w:lang w:val="sr-Cyrl-CS"/>
        </w:rPr>
      </w:pPr>
      <w:r w:rsidRPr="00262C5B">
        <w:rPr>
          <w:color w:val="000000"/>
          <w:lang w:val="sr-Cyrl-CS"/>
        </w:rPr>
        <w:t xml:space="preserve">Приходи од техничког прегледа су </w:t>
      </w:r>
      <w:r w:rsidRPr="00262C5B">
        <w:rPr>
          <w:color w:val="000000"/>
          <w:lang w:val="sr-Cyrl-BA"/>
        </w:rPr>
        <w:t>мањи</w:t>
      </w:r>
      <w:r w:rsidRPr="00262C5B">
        <w:rPr>
          <w:color w:val="000000"/>
          <w:lang w:val="sr-Cyrl-CS"/>
        </w:rPr>
        <w:t xml:space="preserve"> од претходне године, индекс је 59,82%.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262C5B" w:rsidRDefault="007D2641" w:rsidP="007D2641">
      <w:pPr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Приходи од пројектовања су</w:t>
      </w:r>
      <w:r w:rsidRPr="00262C5B">
        <w:rPr>
          <w:color w:val="000000"/>
          <w:lang w:val="sr-Cyrl-CS"/>
        </w:rPr>
        <w:t xml:space="preserve"> мањи, индекс је 62,43% . 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262C5B" w:rsidRDefault="007D2641" w:rsidP="007D2641">
      <w:pPr>
        <w:jc w:val="both"/>
        <w:rPr>
          <w:color w:val="000000"/>
          <w:lang w:val="sr-Cyrl-CS"/>
        </w:rPr>
      </w:pPr>
      <w:r w:rsidRPr="00262C5B">
        <w:rPr>
          <w:color w:val="000000"/>
          <w:lang w:val="sr-Cyrl-CS"/>
        </w:rPr>
        <w:t>Приходи од осталих услуга су мањи, индекс 85,55% , али су у апсолутном износу мали.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CF1E71" w:rsidRDefault="007D2641" w:rsidP="007D2641">
      <w:pPr>
        <w:jc w:val="both"/>
        <w:rPr>
          <w:color w:val="FF0000"/>
          <w:lang w:val="sr-Cyrl-CS"/>
        </w:rPr>
      </w:pPr>
      <w:r w:rsidRPr="008E0241">
        <w:rPr>
          <w:color w:val="000000"/>
          <w:lang w:val="sr-Cyrl-CS"/>
        </w:rPr>
        <w:t>Приходи од паркирања су 772.001 КМ и  већи су од претходне године, индекс је 103,26 %. Као и до сада</w:t>
      </w:r>
      <w:r w:rsidR="00294926">
        <w:rPr>
          <w:color w:val="000000"/>
          <w:lang w:val="sr-Cyrl-CS"/>
        </w:rPr>
        <w:t>,</w:t>
      </w:r>
      <w:r w:rsidRPr="008E0241">
        <w:rPr>
          <w:color w:val="000000"/>
          <w:lang w:val="sr-Cyrl-CS"/>
        </w:rPr>
        <w:t xml:space="preserve"> велики дио тих прихода се односи на доплатне карте (106.439 КМ) од чега је наплаћено 50%. Треба нагласити да  велики дио тих прихода терете  расходи  подизвођачима: „Патриот“ доо Бијељина (228.961 КМ), Регулаторна агенција за комуникације Сарајево за закуп Телефона за СМС (400</w:t>
      </w:r>
      <w:r w:rsidRPr="00CF1E71">
        <w:rPr>
          <w:color w:val="FF0000"/>
          <w:lang w:val="sr-Cyrl-CS"/>
        </w:rPr>
        <w:t xml:space="preserve"> </w:t>
      </w:r>
      <w:r w:rsidRPr="006534D4">
        <w:rPr>
          <w:color w:val="000000"/>
          <w:lang w:val="sr-Cyrl-CS"/>
        </w:rPr>
        <w:t>КМ),</w:t>
      </w:r>
      <w:r w:rsidRPr="00CF1E71">
        <w:rPr>
          <w:color w:val="FF0000"/>
          <w:lang w:val="sr-Cyrl-CS"/>
        </w:rPr>
        <w:t xml:space="preserve"> </w:t>
      </w:r>
      <w:r w:rsidRPr="00A9144F">
        <w:rPr>
          <w:color w:val="000000"/>
          <w:lang w:val="sr-Cyrl-CS"/>
        </w:rPr>
        <w:t>МТЕЛ пакет ГПРС (7</w:t>
      </w:r>
      <w:r>
        <w:rPr>
          <w:color w:val="000000"/>
          <w:lang w:val="sr-Cyrl-CS"/>
        </w:rPr>
        <w:t>93</w:t>
      </w:r>
      <w:r w:rsidRPr="00A9144F">
        <w:rPr>
          <w:color w:val="000000"/>
          <w:lang w:val="sr-Cyrl-CS"/>
        </w:rPr>
        <w:t xml:space="preserve"> КМ),</w:t>
      </w:r>
      <w:r w:rsidRPr="00CF1E71">
        <w:rPr>
          <w:color w:val="FF0000"/>
          <w:lang w:val="sr-Cyrl-CS"/>
        </w:rPr>
        <w:t xml:space="preserve"> </w:t>
      </w:r>
      <w:r w:rsidRPr="006534D4">
        <w:rPr>
          <w:color w:val="000000"/>
          <w:lang w:val="sr-Cyrl-CS"/>
        </w:rPr>
        <w:t>МТЕЛ за фискалну касу (96 КМ),</w:t>
      </w:r>
      <w:r w:rsidRPr="00CF1E71">
        <w:rPr>
          <w:color w:val="FF0000"/>
          <w:lang w:val="sr-Cyrl-CS"/>
        </w:rPr>
        <w:t xml:space="preserve"> </w:t>
      </w:r>
      <w:r w:rsidRPr="00A9144F">
        <w:rPr>
          <w:color w:val="000000"/>
          <w:lang w:val="sr-Cyrl-CS"/>
        </w:rPr>
        <w:t>МТЕЛ за провизију ВАС СМС (2</w:t>
      </w:r>
      <w:r>
        <w:rPr>
          <w:color w:val="000000"/>
          <w:lang w:val="sr-Cyrl-CS"/>
        </w:rPr>
        <w:t>2</w:t>
      </w:r>
      <w:r w:rsidRPr="00A9144F">
        <w:rPr>
          <w:color w:val="000000"/>
          <w:lang w:val="sr-Cyrl-CS"/>
        </w:rPr>
        <w:t>.</w:t>
      </w:r>
      <w:r>
        <w:rPr>
          <w:color w:val="000000"/>
          <w:lang w:val="sr-Cyrl-CS"/>
        </w:rPr>
        <w:t>352</w:t>
      </w:r>
      <w:r w:rsidRPr="00A9144F">
        <w:rPr>
          <w:color w:val="000000"/>
          <w:lang w:val="sr-Cyrl-CS"/>
        </w:rPr>
        <w:t xml:space="preserve"> КМ), АСВ за услуге провајдинга по Уговору (18.355 КМ), штампање киоск карата „Графика Голе“ Бијељина (3.832 КМ), БХ </w:t>
      </w:r>
      <w:r w:rsidR="00294926">
        <w:rPr>
          <w:color w:val="000000"/>
          <w:lang w:val="sr-Cyrl-CS"/>
        </w:rPr>
        <w:t>Т</w:t>
      </w:r>
      <w:r w:rsidRPr="00A9144F">
        <w:rPr>
          <w:color w:val="000000"/>
          <w:lang w:val="sr-Cyrl-CS"/>
        </w:rPr>
        <w:t>елеком за</w:t>
      </w:r>
      <w:r>
        <w:rPr>
          <w:color w:val="FF0000"/>
          <w:lang w:val="sr-Cyrl-CS"/>
        </w:rPr>
        <w:t xml:space="preserve"> </w:t>
      </w:r>
      <w:r w:rsidRPr="00A9144F">
        <w:rPr>
          <w:color w:val="000000"/>
          <w:lang w:val="sr-Cyrl-CS"/>
        </w:rPr>
        <w:t>провизију СМС (</w:t>
      </w:r>
      <w:r>
        <w:rPr>
          <w:color w:val="000000"/>
          <w:lang w:val="sr-Cyrl-CS"/>
        </w:rPr>
        <w:t>678</w:t>
      </w:r>
      <w:r w:rsidRPr="00A9144F">
        <w:rPr>
          <w:color w:val="000000"/>
          <w:lang w:val="sr-Cyrl-CS"/>
        </w:rPr>
        <w:t xml:space="preserve"> КМ)</w:t>
      </w:r>
      <w:r w:rsidRPr="00CF1E71">
        <w:rPr>
          <w:color w:val="FF0000"/>
          <w:lang w:val="sr-Cyrl-CS"/>
        </w:rPr>
        <w:t xml:space="preserve"> </w:t>
      </w:r>
      <w:r w:rsidRPr="00A9144F">
        <w:rPr>
          <w:color w:val="000000"/>
          <w:lang w:val="sr-Cyrl-CS"/>
        </w:rPr>
        <w:t>и</w:t>
      </w:r>
      <w:r w:rsidRPr="00CF1E71">
        <w:rPr>
          <w:color w:val="FF0000"/>
          <w:lang w:val="sr-Cyrl-CS"/>
        </w:rPr>
        <w:t xml:space="preserve"> </w:t>
      </w:r>
      <w:r w:rsidRPr="001C6B7B">
        <w:rPr>
          <w:color w:val="000000"/>
          <w:lang w:val="sr-Cyrl-CS"/>
        </w:rPr>
        <w:t>комуналне</w:t>
      </w:r>
      <w:r w:rsidRPr="00CF1E71">
        <w:rPr>
          <w:color w:val="FF0000"/>
          <w:lang w:val="sr-Cyrl-CS"/>
        </w:rPr>
        <w:t xml:space="preserve"> </w:t>
      </w:r>
      <w:r w:rsidRPr="001C6B7B">
        <w:rPr>
          <w:color w:val="000000"/>
          <w:lang w:val="sr-Cyrl-CS"/>
        </w:rPr>
        <w:t>таксе буџету Града Бијељина (100.600 КМ)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1C6B7B" w:rsidRDefault="007D2641" w:rsidP="007D2641">
      <w:pPr>
        <w:jc w:val="both"/>
        <w:rPr>
          <w:color w:val="000000"/>
          <w:u w:val="single"/>
          <w:lang w:val="sr-Cyrl-CS"/>
        </w:rPr>
      </w:pPr>
      <w:r w:rsidRPr="001C6B7B">
        <w:rPr>
          <w:color w:val="000000"/>
          <w:u w:val="single"/>
          <w:lang w:val="sr-Cyrl-CS"/>
        </w:rPr>
        <w:t>Напомена 2</w:t>
      </w:r>
    </w:p>
    <w:p w:rsidR="007D2641" w:rsidRPr="005E1D63" w:rsidRDefault="007D2641" w:rsidP="007D2641">
      <w:pPr>
        <w:jc w:val="both"/>
        <w:rPr>
          <w:color w:val="000000"/>
          <w:lang w:val="sr-Cyrl-CS"/>
        </w:rPr>
      </w:pPr>
      <w:r w:rsidRPr="005E1D63">
        <w:rPr>
          <w:color w:val="000000"/>
          <w:lang w:val="sr-Cyrl-CS"/>
        </w:rPr>
        <w:t xml:space="preserve">Остали пословни приходи (АОП 215) износе 169.995 КМ, и односе се на буџетско финансирање фискултурне сале и стадиона, а према Плану </w:t>
      </w:r>
      <w:r w:rsidR="00434740">
        <w:rPr>
          <w:color w:val="000000"/>
          <w:lang w:val="sr-Cyrl-CS"/>
        </w:rPr>
        <w:t>б</w:t>
      </w:r>
      <w:r w:rsidRPr="005E1D63">
        <w:rPr>
          <w:color w:val="000000"/>
          <w:lang w:val="sr-Cyrl-CS"/>
        </w:rPr>
        <w:t>уџета Града Бијељина за 2018. годину.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A8164D" w:rsidRDefault="007D2641" w:rsidP="007D2641">
      <w:pPr>
        <w:jc w:val="both"/>
        <w:rPr>
          <w:color w:val="000000"/>
          <w:u w:val="single"/>
          <w:lang w:val="sr-Cyrl-CS"/>
        </w:rPr>
      </w:pPr>
      <w:r w:rsidRPr="00A8164D">
        <w:rPr>
          <w:color w:val="000000"/>
          <w:u w:val="single"/>
          <w:lang w:val="sr-Cyrl-CS"/>
        </w:rPr>
        <w:t>Напомена 3.</w:t>
      </w:r>
    </w:p>
    <w:p w:rsidR="007D2641" w:rsidRPr="00A8164D" w:rsidRDefault="007D2641" w:rsidP="007D2641">
      <w:pPr>
        <w:jc w:val="both"/>
        <w:rPr>
          <w:color w:val="000000"/>
          <w:lang w:val="sr-Cyrl-CS"/>
        </w:rPr>
      </w:pPr>
      <w:r w:rsidRPr="00A8164D">
        <w:rPr>
          <w:color w:val="000000"/>
          <w:lang w:val="sr-Cyrl-CS"/>
        </w:rPr>
        <w:t>Финансијски приходи (АОП 231) односе се на к</w:t>
      </w:r>
      <w:r w:rsidRPr="00A8164D">
        <w:rPr>
          <w:color w:val="000000"/>
          <w:lang w:val="sr-Latn-CS"/>
        </w:rPr>
        <w:t>a</w:t>
      </w:r>
      <w:r w:rsidR="0061678C">
        <w:rPr>
          <w:color w:val="000000"/>
          <w:lang w:val="sr-Cyrl-CS"/>
        </w:rPr>
        <w:t xml:space="preserve">мате по виђењу, </w:t>
      </w:r>
      <w:r w:rsidRPr="00A8164D">
        <w:rPr>
          <w:color w:val="000000"/>
          <w:lang w:val="sr-Cyrl-CS"/>
        </w:rPr>
        <w:t>али 201</w:t>
      </w:r>
      <w:r>
        <w:rPr>
          <w:color w:val="000000"/>
          <w:lang w:val="sr-Cyrl-CS"/>
        </w:rPr>
        <w:t>8</w:t>
      </w:r>
      <w:r w:rsidRPr="00A8164D">
        <w:rPr>
          <w:color w:val="000000"/>
          <w:lang w:val="sr-Cyrl-CS"/>
        </w:rPr>
        <w:t>. нису постојале.</w:t>
      </w:r>
    </w:p>
    <w:p w:rsidR="0061678C" w:rsidRDefault="0061678C" w:rsidP="007D2641">
      <w:pPr>
        <w:jc w:val="both"/>
        <w:rPr>
          <w:color w:val="000000"/>
          <w:u w:val="single"/>
          <w:lang w:val="sr-Cyrl-CS"/>
        </w:rPr>
      </w:pPr>
    </w:p>
    <w:p w:rsidR="007D2641" w:rsidRPr="00A8164D" w:rsidRDefault="007D2641" w:rsidP="007D2641">
      <w:pPr>
        <w:jc w:val="both"/>
        <w:rPr>
          <w:color w:val="000000"/>
          <w:u w:val="single"/>
          <w:lang w:val="sr-Cyrl-CS"/>
        </w:rPr>
      </w:pPr>
      <w:r w:rsidRPr="00A8164D">
        <w:rPr>
          <w:color w:val="000000"/>
          <w:u w:val="single"/>
          <w:lang w:val="sr-Cyrl-CS"/>
        </w:rPr>
        <w:t>Напомена 4.</w:t>
      </w:r>
    </w:p>
    <w:p w:rsidR="007D2641" w:rsidRPr="005C6B9C" w:rsidRDefault="007D2641" w:rsidP="007D2641">
      <w:pPr>
        <w:jc w:val="both"/>
        <w:rPr>
          <w:color w:val="000000"/>
          <w:lang w:val="sr-Cyrl-CS"/>
        </w:rPr>
      </w:pPr>
      <w:r w:rsidRPr="005C6B9C">
        <w:rPr>
          <w:color w:val="000000"/>
          <w:lang w:val="sr-Cyrl-CS"/>
        </w:rPr>
        <w:t>Наплаћена потраживања од исправке вриједности купаца  (АОП 254)   у износу од 3.370 КМ, а односе се на наплаћена потраживања од доплатних карата из ранијих година.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5C6B9C" w:rsidRDefault="007D2641" w:rsidP="007D2641">
      <w:pPr>
        <w:jc w:val="both"/>
        <w:rPr>
          <w:color w:val="000000"/>
          <w:lang w:val="sr-Cyrl-CS"/>
        </w:rPr>
      </w:pPr>
      <w:r w:rsidRPr="005C6B9C">
        <w:rPr>
          <w:color w:val="000000"/>
          <w:u w:val="single"/>
          <w:lang w:val="sr-Cyrl-CS"/>
        </w:rPr>
        <w:t>Напомена 5.</w:t>
      </w:r>
    </w:p>
    <w:p w:rsidR="007D2641" w:rsidRPr="005C6B9C" w:rsidRDefault="007D2641" w:rsidP="007D2641">
      <w:pPr>
        <w:jc w:val="both"/>
        <w:rPr>
          <w:color w:val="000000"/>
          <w:lang w:val="sr-Cyrl-CS"/>
        </w:rPr>
      </w:pPr>
      <w:r w:rsidRPr="005C6B9C">
        <w:rPr>
          <w:color w:val="000000"/>
          <w:lang w:val="sr-Cyrl-CS"/>
        </w:rPr>
        <w:t>Остали приходи тј. приходи од смањења обавеза, укидања  резервисања и остали приходи (АОП 256) износе 45.231 КМ, а односе се на приходе од рефундација</w:t>
      </w:r>
      <w:r>
        <w:rPr>
          <w:color w:val="000000"/>
          <w:lang w:val="sr-Cyrl-CS"/>
        </w:rPr>
        <w:t xml:space="preserve"> и</w:t>
      </w:r>
      <w:r w:rsidRPr="005C6B9C">
        <w:rPr>
          <w:color w:val="000000"/>
          <w:lang w:val="sr-Cyrl-CS"/>
        </w:rPr>
        <w:t xml:space="preserve"> ВПН трошкова телефона радника.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1163B8" w:rsidRDefault="007D2641" w:rsidP="007D2641">
      <w:pPr>
        <w:jc w:val="both"/>
        <w:rPr>
          <w:color w:val="000000"/>
          <w:u w:val="single"/>
          <w:lang w:val="sr-Cyrl-CS"/>
        </w:rPr>
      </w:pPr>
      <w:r w:rsidRPr="001163B8">
        <w:rPr>
          <w:color w:val="000000"/>
          <w:u w:val="single"/>
          <w:lang w:val="sr-Cyrl-CS"/>
        </w:rPr>
        <w:lastRenderedPageBreak/>
        <w:t>Напомена 6.</w:t>
      </w:r>
    </w:p>
    <w:p w:rsidR="007D2641" w:rsidRPr="001163B8" w:rsidRDefault="007D2641" w:rsidP="007D2641">
      <w:pPr>
        <w:jc w:val="both"/>
        <w:rPr>
          <w:color w:val="000000"/>
          <w:lang w:val="sr-Cyrl-CS"/>
        </w:rPr>
      </w:pPr>
      <w:r w:rsidRPr="001163B8">
        <w:rPr>
          <w:color w:val="000000"/>
          <w:lang w:val="sr-Cyrl-CS"/>
        </w:rPr>
        <w:t>Набавна вриједност продате робе (АОП 217) износи 2.647 КМ, а односи се на киоск карте.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AB75D5" w:rsidRDefault="007D2641" w:rsidP="007D2641">
      <w:pPr>
        <w:jc w:val="both"/>
        <w:rPr>
          <w:color w:val="000000"/>
          <w:u w:val="single"/>
          <w:lang w:val="sr-Cyrl-CS"/>
        </w:rPr>
      </w:pPr>
      <w:r w:rsidRPr="00AB75D5">
        <w:rPr>
          <w:color w:val="000000"/>
          <w:u w:val="single"/>
          <w:lang w:val="sr-Cyrl-CS"/>
        </w:rPr>
        <w:t>Напомена 7.</w:t>
      </w:r>
    </w:p>
    <w:p w:rsidR="007D2641" w:rsidRPr="00AB75D5" w:rsidRDefault="007D2641" w:rsidP="007D2641">
      <w:pPr>
        <w:jc w:val="both"/>
        <w:rPr>
          <w:color w:val="000000"/>
          <w:lang w:val="sr-Cyrl-CS"/>
        </w:rPr>
      </w:pPr>
      <w:r w:rsidRPr="00AB75D5">
        <w:rPr>
          <w:color w:val="000000"/>
          <w:lang w:val="sr-Cyrl-CS"/>
        </w:rPr>
        <w:t>Трошкови материјала (АОП 218) износе 69.685 КМ, а односе</w:t>
      </w:r>
      <w:r w:rsidR="0061678C">
        <w:rPr>
          <w:color w:val="000000"/>
          <w:lang w:val="sr-Cyrl-CS"/>
        </w:rPr>
        <w:t xml:space="preserve"> се на трошкове канцеларијског </w:t>
      </w:r>
      <w:r w:rsidRPr="00AB75D5">
        <w:rPr>
          <w:color w:val="000000"/>
          <w:lang w:val="sr-Cyrl-CS"/>
        </w:rPr>
        <w:t>и осталих материјала 26.816 КМ  и енергената 42.869 КМ (ел. струје, угаља, нафтних деривата).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7F3C88" w:rsidRDefault="007D2641" w:rsidP="007D2641">
      <w:pPr>
        <w:jc w:val="both"/>
        <w:rPr>
          <w:color w:val="000000"/>
          <w:u w:val="single"/>
          <w:lang w:val="sr-Cyrl-CS"/>
        </w:rPr>
      </w:pPr>
      <w:r w:rsidRPr="007F3C88">
        <w:rPr>
          <w:color w:val="000000"/>
          <w:u w:val="single"/>
          <w:lang w:val="sr-Cyrl-CS"/>
        </w:rPr>
        <w:t>Напомена 8.</w:t>
      </w:r>
    </w:p>
    <w:p w:rsidR="007D2641" w:rsidRPr="00D944CF" w:rsidRDefault="007D2641" w:rsidP="007D2641">
      <w:pPr>
        <w:jc w:val="both"/>
        <w:rPr>
          <w:color w:val="000000"/>
          <w:lang w:val="sr-Cyrl-BA"/>
        </w:rPr>
      </w:pPr>
      <w:r w:rsidRPr="00D944CF">
        <w:rPr>
          <w:color w:val="000000"/>
          <w:lang w:val="sr-Cyrl-CS"/>
        </w:rPr>
        <w:t>Трошкови бруто зарада и накнада (АОП 220) износе 1.018.238 КМ и односе се на бруто зараде стално запослених и Надзорног одбора. Већи су од  прошлогодишњих за 1,08 % пошто су дошла 2 нова радника.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F35896" w:rsidRDefault="007D2641" w:rsidP="007D2641">
      <w:pPr>
        <w:jc w:val="both"/>
        <w:rPr>
          <w:color w:val="000000"/>
          <w:u w:val="single"/>
          <w:lang w:val="sr-Cyrl-CS"/>
        </w:rPr>
      </w:pPr>
      <w:r w:rsidRPr="00F35896">
        <w:rPr>
          <w:color w:val="000000"/>
          <w:u w:val="single"/>
          <w:lang w:val="sr-Cyrl-CS"/>
        </w:rPr>
        <w:t>Напомена 9.</w:t>
      </w:r>
    </w:p>
    <w:p w:rsidR="007D2641" w:rsidRPr="00F35896" w:rsidRDefault="007D2641" w:rsidP="007D2641">
      <w:pPr>
        <w:jc w:val="both"/>
        <w:rPr>
          <w:color w:val="000000"/>
          <w:lang w:val="sr-Cyrl-CS"/>
        </w:rPr>
      </w:pPr>
      <w:r w:rsidRPr="00F35896">
        <w:rPr>
          <w:color w:val="000000"/>
          <w:lang w:val="sr-Cyrl-CS"/>
        </w:rPr>
        <w:t>Остали лични расходи (АОП 221) су 2.829 КМ, а односе се на трошкове  дневница за службена и друга  путовања и сл.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F35896" w:rsidRDefault="007D2641" w:rsidP="007D2641">
      <w:pPr>
        <w:jc w:val="both"/>
        <w:rPr>
          <w:color w:val="000000"/>
          <w:u w:val="single"/>
          <w:lang w:val="sr-Cyrl-CS"/>
        </w:rPr>
      </w:pPr>
      <w:r w:rsidRPr="00F35896">
        <w:rPr>
          <w:color w:val="000000"/>
          <w:u w:val="single"/>
          <w:lang w:val="sr-Cyrl-CS"/>
        </w:rPr>
        <w:t>Напомена 10.</w:t>
      </w:r>
    </w:p>
    <w:p w:rsidR="007D2641" w:rsidRPr="00F35896" w:rsidRDefault="007D2641" w:rsidP="007D2641">
      <w:pPr>
        <w:jc w:val="both"/>
        <w:rPr>
          <w:color w:val="000000"/>
          <w:lang w:val="sr-Cyrl-CS"/>
        </w:rPr>
      </w:pPr>
      <w:r w:rsidRPr="00F35896">
        <w:rPr>
          <w:color w:val="000000"/>
          <w:lang w:val="sr-Cyrl-CS"/>
        </w:rPr>
        <w:t>Трошкови производних услуга и осталих услуга (АОП 222) износе 322.491</w:t>
      </w:r>
      <w:r w:rsidR="0061678C">
        <w:rPr>
          <w:color w:val="000000"/>
          <w:lang w:val="sr-Cyrl-CS"/>
        </w:rPr>
        <w:t xml:space="preserve"> КМ, а односе се на производне </w:t>
      </w:r>
      <w:r w:rsidRPr="00F35896">
        <w:rPr>
          <w:color w:val="000000"/>
          <w:lang w:val="sr-Cyrl-CS"/>
        </w:rPr>
        <w:t>услуге „Патриот“ Бијељина (228.961 КМ)</w:t>
      </w:r>
      <w:r w:rsidRPr="00F35896">
        <w:rPr>
          <w:color w:val="000000"/>
          <w:lang w:val="sr-Latn-BA"/>
        </w:rPr>
        <w:t xml:space="preserve">, </w:t>
      </w:r>
      <w:r w:rsidRPr="00F35896">
        <w:rPr>
          <w:color w:val="000000"/>
          <w:lang w:val="sr-Cyrl-BA"/>
        </w:rPr>
        <w:t xml:space="preserve"> </w:t>
      </w:r>
      <w:r w:rsidR="0061678C">
        <w:rPr>
          <w:color w:val="000000"/>
          <w:lang w:val="sr-Cyrl-BA"/>
        </w:rPr>
        <w:t>„</w:t>
      </w:r>
      <w:r w:rsidRPr="00F35896">
        <w:rPr>
          <w:color w:val="000000"/>
          <w:lang w:val="sr-Cyrl-BA"/>
        </w:rPr>
        <w:t>Геоматик</w:t>
      </w:r>
      <w:r w:rsidR="0061678C">
        <w:rPr>
          <w:color w:val="000000"/>
          <w:lang w:val="sr-Cyrl-BA"/>
        </w:rPr>
        <w:t>“</w:t>
      </w:r>
      <w:r w:rsidRPr="00F35896">
        <w:rPr>
          <w:color w:val="000000"/>
          <w:lang w:val="sr-Cyrl-BA"/>
        </w:rPr>
        <w:t xml:space="preserve"> </w:t>
      </w:r>
      <w:r w:rsidR="0061678C" w:rsidRPr="00F35896">
        <w:rPr>
          <w:color w:val="000000"/>
          <w:lang w:val="sr-Cyrl-BA"/>
        </w:rPr>
        <w:t>ДОО</w:t>
      </w:r>
      <w:r w:rsidRPr="00F35896">
        <w:rPr>
          <w:color w:val="000000"/>
          <w:lang w:val="sr-Cyrl-BA"/>
        </w:rPr>
        <w:t xml:space="preserve"> Бијељина (4.359 КМ) и</w:t>
      </w:r>
      <w:r w:rsidRPr="00F35896">
        <w:rPr>
          <w:color w:val="000000"/>
          <w:lang w:val="sr-Cyrl-CS"/>
        </w:rPr>
        <w:t xml:space="preserve"> трошкове ПТТ, телефона, интернета (70.084 КМ), трошкови за услуге на текућем и инвестиционом одржавању основних средстава (2.585 КМ) трошкови огласа у новинама и трошкови </w:t>
      </w:r>
      <w:r w:rsidR="0061678C" w:rsidRPr="00F35896">
        <w:rPr>
          <w:color w:val="000000"/>
          <w:lang w:val="sr-Cyrl-CS"/>
        </w:rPr>
        <w:t>РТВ</w:t>
      </w:r>
      <w:r w:rsidRPr="00F35896">
        <w:rPr>
          <w:color w:val="000000"/>
          <w:lang w:val="sr-Cyrl-CS"/>
        </w:rPr>
        <w:t xml:space="preserve"> претплате (3.054 КМ) трошкови комуналних услуга , </w:t>
      </w:r>
      <w:r w:rsidR="0061678C">
        <w:rPr>
          <w:color w:val="000000"/>
          <w:lang w:val="sr-Cyrl-CS"/>
        </w:rPr>
        <w:t>уговора о привременим и повременим пословима</w:t>
      </w:r>
      <w:r w:rsidRPr="00F35896">
        <w:rPr>
          <w:color w:val="000000"/>
          <w:lang w:val="sr-Cyrl-CS"/>
        </w:rPr>
        <w:t>, уговора о дјелу (13.448 КМ).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F35896" w:rsidRDefault="007D2641" w:rsidP="007D2641">
      <w:pPr>
        <w:jc w:val="both"/>
        <w:rPr>
          <w:color w:val="000000"/>
          <w:u w:val="single"/>
          <w:lang w:val="sr-Cyrl-CS"/>
        </w:rPr>
      </w:pPr>
      <w:r w:rsidRPr="00F35896">
        <w:rPr>
          <w:color w:val="000000"/>
          <w:u w:val="single"/>
          <w:lang w:val="sr-Cyrl-CS"/>
        </w:rPr>
        <w:t>Напомена 11.</w:t>
      </w:r>
    </w:p>
    <w:p w:rsidR="007D2641" w:rsidRPr="00F35896" w:rsidRDefault="007D2641" w:rsidP="007D2641">
      <w:pPr>
        <w:jc w:val="both"/>
        <w:rPr>
          <w:color w:val="000000"/>
          <w:lang w:val="sr-Cyrl-CS"/>
        </w:rPr>
      </w:pPr>
      <w:r w:rsidRPr="00F35896">
        <w:rPr>
          <w:color w:val="000000"/>
          <w:lang w:val="sr-Cyrl-CS"/>
        </w:rPr>
        <w:t xml:space="preserve">Трошкови амортизације (АОП 224) су 5.710 КМ 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F35896" w:rsidRDefault="007D2641" w:rsidP="007D2641">
      <w:pPr>
        <w:jc w:val="both"/>
        <w:rPr>
          <w:color w:val="000000"/>
          <w:u w:val="single"/>
          <w:lang w:val="sr-Cyrl-CS"/>
        </w:rPr>
      </w:pPr>
      <w:r w:rsidRPr="00F35896">
        <w:rPr>
          <w:color w:val="000000"/>
          <w:u w:val="single"/>
          <w:lang w:val="sr-Cyrl-CS"/>
        </w:rPr>
        <w:t>Напомена 12.</w:t>
      </w:r>
    </w:p>
    <w:p w:rsidR="007D2641" w:rsidRPr="007D2641" w:rsidRDefault="007D2641" w:rsidP="007D2641">
      <w:pPr>
        <w:jc w:val="both"/>
        <w:rPr>
          <w:color w:val="000000"/>
          <w:lang w:val="sr-Cyrl-CS"/>
        </w:rPr>
      </w:pPr>
      <w:r w:rsidRPr="00F35896">
        <w:rPr>
          <w:color w:val="000000"/>
          <w:lang w:val="sr-Cyrl-CS"/>
        </w:rPr>
        <w:t>Нематеријални трошкови (АОП 226) су 44.163 КМ, а односе се на</w:t>
      </w:r>
      <w:r w:rsidRPr="00F35896">
        <w:rPr>
          <w:color w:val="000000"/>
          <w:lang w:val="sr-Latn-BA"/>
        </w:rPr>
        <w:t xml:space="preserve"> </w:t>
      </w:r>
      <w:r w:rsidRPr="00F35896">
        <w:rPr>
          <w:color w:val="000000"/>
          <w:lang w:val="sr-Cyrl-BA"/>
        </w:rPr>
        <w:t xml:space="preserve">трошкове репрезентације, </w:t>
      </w:r>
      <w:r w:rsidRPr="00F35896">
        <w:rPr>
          <w:color w:val="000000"/>
          <w:lang w:val="sr-Cyrl-CS"/>
        </w:rPr>
        <w:t>трошкове стручног усавршавања, трошкове осигурања, платног промета, чланарине, програмске услуге (А</w:t>
      </w:r>
      <w:r w:rsidRPr="00F35896">
        <w:rPr>
          <w:color w:val="000000"/>
          <w:lang w:val="sr-Latn-CS"/>
        </w:rPr>
        <w:t>SW</w:t>
      </w:r>
      <w:r w:rsidRPr="00F35896">
        <w:rPr>
          <w:color w:val="000000"/>
          <w:lang w:val="sr-Cyrl-BA"/>
        </w:rPr>
        <w:t>-а</w:t>
      </w:r>
      <w:r w:rsidRPr="00F35896">
        <w:rPr>
          <w:color w:val="000000"/>
          <w:lang w:val="sr-Latn-CS"/>
        </w:rPr>
        <w:t>)</w:t>
      </w:r>
      <w:r w:rsidRPr="00F35896">
        <w:rPr>
          <w:color w:val="000000"/>
          <w:lang w:val="sr-Cyrl-CS"/>
        </w:rPr>
        <w:t xml:space="preserve">  и друге непроизводне услуге.</w:t>
      </w:r>
    </w:p>
    <w:p w:rsidR="002532DE" w:rsidRDefault="002532DE" w:rsidP="007D2641">
      <w:pPr>
        <w:jc w:val="both"/>
        <w:rPr>
          <w:color w:val="000000"/>
          <w:u w:val="single"/>
          <w:lang w:val="sr-Cyrl-CS"/>
        </w:rPr>
      </w:pPr>
    </w:p>
    <w:p w:rsidR="007D2641" w:rsidRPr="00F35896" w:rsidRDefault="007D2641" w:rsidP="007D2641">
      <w:pPr>
        <w:jc w:val="both"/>
        <w:rPr>
          <w:color w:val="000000"/>
          <w:u w:val="single"/>
          <w:lang w:val="sr-Cyrl-CS"/>
        </w:rPr>
      </w:pPr>
      <w:r w:rsidRPr="00F35896">
        <w:rPr>
          <w:color w:val="000000"/>
          <w:u w:val="single"/>
          <w:lang w:val="sr-Cyrl-CS"/>
        </w:rPr>
        <w:t>Напомена 13.</w:t>
      </w:r>
    </w:p>
    <w:p w:rsidR="007D2641" w:rsidRPr="00AE6C11" w:rsidRDefault="007D2641" w:rsidP="007D2641">
      <w:pPr>
        <w:jc w:val="both"/>
        <w:rPr>
          <w:color w:val="000000"/>
          <w:lang w:val="sr-Cyrl-CS"/>
        </w:rPr>
      </w:pPr>
      <w:r w:rsidRPr="00D8711B">
        <w:rPr>
          <w:color w:val="000000"/>
          <w:lang w:val="sr-Cyrl-CS"/>
        </w:rPr>
        <w:t>Трошкови пореза (АОП 227) су 103.887 КМ и односе се на комуналне таксе (100.600 КМ) затим републичке и комуналне таксе за истакнуту фирму (700 КМ), накнаде за воде, шуме и противпожарну заштиту (2.492 КМ) и остали порези (95 КМ)</w:t>
      </w:r>
    </w:p>
    <w:p w:rsidR="002532DE" w:rsidRDefault="002532DE" w:rsidP="007D2641">
      <w:pPr>
        <w:jc w:val="both"/>
        <w:rPr>
          <w:color w:val="000000"/>
          <w:u w:val="single"/>
          <w:lang w:val="sr-Cyrl-CS"/>
        </w:rPr>
      </w:pPr>
    </w:p>
    <w:p w:rsidR="007D2641" w:rsidRPr="00D8711B" w:rsidRDefault="007D2641" w:rsidP="007D2641">
      <w:pPr>
        <w:jc w:val="both"/>
        <w:rPr>
          <w:color w:val="000000"/>
          <w:u w:val="single"/>
          <w:lang w:val="sr-Cyrl-CS"/>
        </w:rPr>
      </w:pPr>
      <w:r w:rsidRPr="00D8711B">
        <w:rPr>
          <w:color w:val="000000"/>
          <w:u w:val="single"/>
          <w:lang w:val="sr-Cyrl-CS"/>
        </w:rPr>
        <w:t>Напомена 14.</w:t>
      </w:r>
    </w:p>
    <w:p w:rsidR="007D2641" w:rsidRPr="00D8711B" w:rsidRDefault="007D2641" w:rsidP="007D2641">
      <w:pPr>
        <w:jc w:val="both"/>
        <w:rPr>
          <w:color w:val="000000"/>
          <w:lang w:val="sr-Cyrl-CS"/>
        </w:rPr>
      </w:pPr>
      <w:r w:rsidRPr="00D8711B">
        <w:rPr>
          <w:color w:val="000000"/>
          <w:lang w:val="sr-Cyrl-CS"/>
        </w:rPr>
        <w:t>Трошкови доприноса (АОП 228) су 1.978 КМ  и односе се на допринос за инвалидна лица.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0E507F" w:rsidRDefault="007D2641" w:rsidP="007D2641">
      <w:pPr>
        <w:jc w:val="both"/>
        <w:rPr>
          <w:color w:val="000000"/>
          <w:u w:val="single"/>
          <w:lang w:val="sr-Cyrl-CS"/>
        </w:rPr>
      </w:pPr>
      <w:r w:rsidRPr="000E507F">
        <w:rPr>
          <w:color w:val="000000"/>
          <w:u w:val="single"/>
          <w:lang w:val="sr-Cyrl-CS"/>
        </w:rPr>
        <w:t>Напомена 15.</w:t>
      </w:r>
    </w:p>
    <w:p w:rsidR="007D2641" w:rsidRPr="000E507F" w:rsidRDefault="007D2641" w:rsidP="007D2641">
      <w:pPr>
        <w:jc w:val="both"/>
        <w:rPr>
          <w:color w:val="000000"/>
          <w:lang w:val="sr-Cyrl-CS"/>
        </w:rPr>
      </w:pPr>
      <w:r w:rsidRPr="000E507F">
        <w:rPr>
          <w:color w:val="000000"/>
          <w:lang w:val="sr-Cyrl-CS"/>
        </w:rPr>
        <w:t>Финансијски расходи (АОП 238) су расходи камата за краткорочне и дугорочне кредите, камате за лизинг и остале камате, а износе 21.011 КМ.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0E507F" w:rsidRDefault="007D2641" w:rsidP="007D2641">
      <w:pPr>
        <w:jc w:val="both"/>
        <w:rPr>
          <w:color w:val="000000"/>
          <w:u w:val="single"/>
          <w:lang w:val="sr-Cyrl-CS"/>
        </w:rPr>
      </w:pPr>
      <w:r w:rsidRPr="000E507F">
        <w:rPr>
          <w:color w:val="000000"/>
          <w:u w:val="single"/>
          <w:lang w:val="sr-Cyrl-CS"/>
        </w:rPr>
        <w:t>Напомена 16.</w:t>
      </w:r>
    </w:p>
    <w:p w:rsidR="007D2641" w:rsidRPr="000E507F" w:rsidRDefault="007D2641" w:rsidP="007D2641">
      <w:pPr>
        <w:jc w:val="both"/>
        <w:rPr>
          <w:color w:val="000000"/>
          <w:lang w:val="sr-Cyrl-CS"/>
        </w:rPr>
      </w:pPr>
      <w:r w:rsidRPr="000E507F">
        <w:rPr>
          <w:color w:val="000000"/>
          <w:lang w:val="sr-Cyrl-CS"/>
        </w:rPr>
        <w:t xml:space="preserve">Расходи по основу исправке  вриједности и отписа потраживања (АОП 266) су 69.860 КМ. 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0E507F" w:rsidRDefault="007D2641" w:rsidP="007D2641">
      <w:pPr>
        <w:jc w:val="both"/>
        <w:rPr>
          <w:color w:val="000000"/>
          <w:u w:val="single"/>
          <w:lang w:val="sr-Cyrl-CS"/>
        </w:rPr>
      </w:pPr>
      <w:r w:rsidRPr="000E507F">
        <w:rPr>
          <w:color w:val="000000"/>
          <w:u w:val="single"/>
          <w:lang w:val="sr-Cyrl-CS"/>
        </w:rPr>
        <w:lastRenderedPageBreak/>
        <w:t>Напомена 17.</w:t>
      </w:r>
    </w:p>
    <w:p w:rsidR="007D2641" w:rsidRPr="000E507F" w:rsidRDefault="007D2641" w:rsidP="007D2641">
      <w:pPr>
        <w:jc w:val="both"/>
        <w:rPr>
          <w:color w:val="000000"/>
          <w:lang w:val="sr-Cyrl-CS"/>
        </w:rPr>
      </w:pPr>
      <w:r w:rsidRPr="000E507F">
        <w:rPr>
          <w:color w:val="000000"/>
          <w:lang w:val="sr-Cyrl-CS"/>
        </w:rPr>
        <w:t>Остали расходи (АОП 267) износе 6.518 КМ и односе се на хуманитарну намјену, првенствено</w:t>
      </w:r>
      <w:r w:rsidRPr="000E507F">
        <w:rPr>
          <w:color w:val="000000"/>
          <w:lang w:val="sr-Latn-BA"/>
        </w:rPr>
        <w:t xml:space="preserve"> </w:t>
      </w:r>
      <w:r w:rsidRPr="000E507F">
        <w:rPr>
          <w:color w:val="000000"/>
          <w:lang w:val="sr-Cyrl-BA"/>
        </w:rPr>
        <w:t>на</w:t>
      </w:r>
      <w:r w:rsidRPr="000E507F">
        <w:rPr>
          <w:color w:val="000000"/>
          <w:lang w:val="sr-Cyrl-CS"/>
        </w:rPr>
        <w:t xml:space="preserve"> исплате за пакетиће, 8. март и остале издатке.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AA7363" w:rsidRDefault="007D2641" w:rsidP="007D2641">
      <w:pPr>
        <w:jc w:val="both"/>
        <w:rPr>
          <w:color w:val="000000"/>
          <w:u w:val="single"/>
          <w:lang w:val="sr-Cyrl-CS"/>
        </w:rPr>
      </w:pPr>
      <w:r w:rsidRPr="00AA7363">
        <w:rPr>
          <w:color w:val="000000"/>
          <w:u w:val="single"/>
          <w:lang w:val="sr-Cyrl-CS"/>
        </w:rPr>
        <w:t>Напомена 18.</w:t>
      </w:r>
    </w:p>
    <w:p w:rsidR="007D2641" w:rsidRPr="00AA7363" w:rsidRDefault="007D2641" w:rsidP="007D2641">
      <w:pPr>
        <w:jc w:val="both"/>
        <w:rPr>
          <w:color w:val="000000"/>
          <w:lang w:val="sr-Cyrl-CS"/>
        </w:rPr>
      </w:pPr>
      <w:r w:rsidRPr="00AA7363">
        <w:rPr>
          <w:color w:val="000000"/>
          <w:lang w:val="sr-Cyrl-CS"/>
        </w:rPr>
        <w:t>Расходи на основу промјене рачуноводствених политика и исправке грешака из ранијих година (АОП 293) ове године не постоје.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AA7363" w:rsidRDefault="007D2641" w:rsidP="007D2641">
      <w:pPr>
        <w:jc w:val="both"/>
        <w:rPr>
          <w:color w:val="000000"/>
          <w:u w:val="single"/>
          <w:lang w:val="sr-Cyrl-CS"/>
        </w:rPr>
      </w:pPr>
      <w:r w:rsidRPr="00AA7363">
        <w:rPr>
          <w:color w:val="000000"/>
          <w:u w:val="single"/>
          <w:lang w:val="sr-Cyrl-CS"/>
        </w:rPr>
        <w:t>Напомена 19.</w:t>
      </w:r>
    </w:p>
    <w:p w:rsidR="007D2641" w:rsidRPr="00253329" w:rsidRDefault="007D2641" w:rsidP="007D2641">
      <w:pPr>
        <w:jc w:val="both"/>
        <w:rPr>
          <w:b/>
          <w:color w:val="000000"/>
          <w:lang w:val="sr-Cyrl-CS"/>
        </w:rPr>
      </w:pPr>
      <w:r w:rsidRPr="00253329">
        <w:rPr>
          <w:b/>
          <w:color w:val="000000"/>
          <w:lang w:val="sr-Cyrl-CS"/>
        </w:rPr>
        <w:t>Добитак прије опорезивања (АОП 294) износи 14.566 КМ и резултат је разлике укупних прихода фирме (АОП 301) 1.683.583 КМ и укупних расхода (АОП 302) 1.669.017 КМ.</w:t>
      </w:r>
    </w:p>
    <w:p w:rsidR="007D2641" w:rsidRPr="00CF1E71" w:rsidRDefault="007D2641" w:rsidP="007D2641">
      <w:pPr>
        <w:jc w:val="both"/>
        <w:rPr>
          <w:b/>
          <w:color w:val="FF0000"/>
          <w:lang w:val="sr-Cyrl-CS"/>
        </w:rPr>
      </w:pPr>
    </w:p>
    <w:p w:rsidR="007D2641" w:rsidRPr="00253329" w:rsidRDefault="007D2641" w:rsidP="007D2641">
      <w:pPr>
        <w:jc w:val="both"/>
        <w:rPr>
          <w:color w:val="000000"/>
          <w:lang w:val="sr-Cyrl-CS"/>
        </w:rPr>
      </w:pPr>
      <w:r w:rsidRPr="00253329">
        <w:rPr>
          <w:color w:val="000000"/>
          <w:u w:val="single"/>
          <w:lang w:val="sr-Cyrl-CS"/>
        </w:rPr>
        <w:t>Напомена 20.</w:t>
      </w:r>
    </w:p>
    <w:p w:rsidR="007D2641" w:rsidRPr="00253329" w:rsidRDefault="007D2641" w:rsidP="007D2641">
      <w:pPr>
        <w:jc w:val="both"/>
        <w:rPr>
          <w:b/>
          <w:color w:val="000000"/>
          <w:u w:val="single"/>
          <w:lang w:val="sr-Cyrl-CS"/>
        </w:rPr>
      </w:pPr>
      <w:r w:rsidRPr="00253329">
        <w:rPr>
          <w:color w:val="000000"/>
          <w:lang w:val="sr-Cyrl-CS"/>
        </w:rPr>
        <w:t xml:space="preserve">Порески расходи периода (АОП 296) износе 5.733 КМ,  тако да се бруто добитак по билансу успјеха од 14.566 КМ умањује за наведени износ, и нето добит износи </w:t>
      </w:r>
      <w:r w:rsidRPr="00253329">
        <w:rPr>
          <w:b/>
          <w:color w:val="000000"/>
          <w:u w:val="single"/>
          <w:lang w:val="sr-Cyrl-CS"/>
        </w:rPr>
        <w:t>8.833</w:t>
      </w:r>
      <w:r w:rsidRPr="00253329">
        <w:rPr>
          <w:color w:val="000000"/>
          <w:lang w:val="sr-Cyrl-CS"/>
        </w:rPr>
        <w:t xml:space="preserve"> КМ, а </w:t>
      </w:r>
      <w:r w:rsidRPr="00253329">
        <w:rPr>
          <w:b/>
          <w:color w:val="000000"/>
          <w:u w:val="single"/>
          <w:lang w:val="sr-Cyrl-CS"/>
        </w:rPr>
        <w:t>приказано је на  АОП 299 .</w:t>
      </w:r>
    </w:p>
    <w:p w:rsidR="007D2641" w:rsidRPr="00CF1E71" w:rsidRDefault="007D2641" w:rsidP="007D2641">
      <w:pPr>
        <w:jc w:val="both"/>
        <w:rPr>
          <w:b/>
          <w:color w:val="FF0000"/>
          <w:u w:val="single"/>
          <w:lang w:val="sr-Cyrl-CS"/>
        </w:rPr>
      </w:pPr>
    </w:p>
    <w:p w:rsidR="007D2641" w:rsidRPr="006B2EC9" w:rsidRDefault="007D2641" w:rsidP="007D2641">
      <w:pPr>
        <w:rPr>
          <w:b/>
          <w:u w:val="single"/>
          <w:lang w:val="sr-Cyrl-CS"/>
        </w:rPr>
      </w:pPr>
      <w:r w:rsidRPr="006B2EC9">
        <w:rPr>
          <w:b/>
          <w:sz w:val="28"/>
          <w:szCs w:val="28"/>
          <w:u w:val="single"/>
          <w:lang w:val="sr-Cyrl-CS"/>
        </w:rPr>
        <w:t>Биланс стања -</w:t>
      </w:r>
      <w:r w:rsidRPr="006B2EC9">
        <w:rPr>
          <w:b/>
          <w:u w:val="single"/>
          <w:lang w:val="sr-Cyrl-CS"/>
        </w:rPr>
        <w:t xml:space="preserve"> Рекапитулација активе и пасиве на дан 31.12.201</w:t>
      </w:r>
      <w:r w:rsidRPr="006B2EC9">
        <w:rPr>
          <w:b/>
          <w:u w:val="single"/>
          <w:lang w:val="sr-Latn-BA"/>
        </w:rPr>
        <w:t>8</w:t>
      </w:r>
      <w:r w:rsidRPr="006B2EC9">
        <w:rPr>
          <w:b/>
          <w:u w:val="single"/>
          <w:lang w:val="sr-Cyrl-CS"/>
        </w:rPr>
        <w:t>. и 31.12.201</w:t>
      </w:r>
      <w:r w:rsidRPr="006B2EC9">
        <w:rPr>
          <w:b/>
          <w:u w:val="single"/>
          <w:lang w:val="sr-Latn-BA"/>
        </w:rPr>
        <w:t>7</w:t>
      </w:r>
      <w:r w:rsidRPr="006B2EC9">
        <w:rPr>
          <w:b/>
          <w:u w:val="single"/>
          <w:lang w:val="sr-Cyrl-CS"/>
        </w:rPr>
        <w:t>. године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3251"/>
        <w:gridCol w:w="1845"/>
        <w:gridCol w:w="2159"/>
        <w:gridCol w:w="1419"/>
      </w:tblGrid>
      <w:tr w:rsidR="007D2641" w:rsidRPr="00A335E8" w:rsidTr="00EB455B">
        <w:tc>
          <w:tcPr>
            <w:tcW w:w="737" w:type="dxa"/>
            <w:shd w:val="clear" w:color="auto" w:fill="auto"/>
            <w:vAlign w:val="center"/>
          </w:tcPr>
          <w:p w:rsidR="007D2641" w:rsidRPr="00A335E8" w:rsidRDefault="007D2641" w:rsidP="00EB455B">
            <w:pPr>
              <w:jc w:val="center"/>
              <w:rPr>
                <w:b/>
                <w:lang w:val="sr-Cyrl-CS"/>
              </w:rPr>
            </w:pPr>
            <w:r w:rsidRPr="00A335E8">
              <w:rPr>
                <w:b/>
                <w:lang w:val="sr-Cyrl-CS"/>
              </w:rPr>
              <w:t>Р.бр.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7D2641" w:rsidRPr="00A335E8" w:rsidRDefault="007D2641" w:rsidP="00EB455B">
            <w:pPr>
              <w:jc w:val="center"/>
              <w:rPr>
                <w:b/>
                <w:lang w:val="sr-Cyrl-CS"/>
              </w:rPr>
            </w:pPr>
            <w:r w:rsidRPr="00A335E8">
              <w:rPr>
                <w:b/>
                <w:lang w:val="sr-Cyrl-CS"/>
              </w:rPr>
              <w:t>О п и с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D2641" w:rsidRPr="00A335E8" w:rsidRDefault="007D2641" w:rsidP="00EB455B">
            <w:pPr>
              <w:jc w:val="center"/>
              <w:rPr>
                <w:b/>
                <w:lang w:val="sr-Cyrl-CS"/>
              </w:rPr>
            </w:pPr>
            <w:r w:rsidRPr="00A335E8">
              <w:rPr>
                <w:b/>
                <w:lang w:val="sr-Cyrl-CS"/>
              </w:rPr>
              <w:t>31.12.201</w:t>
            </w:r>
            <w:r w:rsidRPr="00A335E8">
              <w:rPr>
                <w:b/>
                <w:lang w:val="sr-Latn-BA"/>
              </w:rPr>
              <w:t>8</w:t>
            </w:r>
            <w:r w:rsidRPr="00A335E8">
              <w:rPr>
                <w:b/>
                <w:lang w:val="sr-Cyrl-CS"/>
              </w:rPr>
              <w:t>.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D2641" w:rsidRPr="00A335E8" w:rsidRDefault="007D2641" w:rsidP="00EB455B">
            <w:pPr>
              <w:jc w:val="center"/>
              <w:rPr>
                <w:b/>
                <w:lang w:val="sr-Cyrl-BA"/>
              </w:rPr>
            </w:pPr>
            <w:r w:rsidRPr="00A335E8">
              <w:rPr>
                <w:b/>
                <w:lang w:val="sr-Cyrl-CS"/>
              </w:rPr>
              <w:t>31.12.201</w:t>
            </w:r>
            <w:r w:rsidRPr="00A335E8">
              <w:rPr>
                <w:b/>
                <w:lang w:val="sr-Latn-BA"/>
              </w:rPr>
              <w:t>7</w:t>
            </w:r>
            <w:r w:rsidRPr="00A335E8">
              <w:rPr>
                <w:b/>
                <w:lang w:val="sr-Cyrl-BA"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A335E8" w:rsidRDefault="007D2641" w:rsidP="00EB455B">
            <w:pPr>
              <w:jc w:val="center"/>
              <w:rPr>
                <w:b/>
                <w:lang w:val="sr-Cyrl-CS"/>
              </w:rPr>
            </w:pPr>
            <w:r w:rsidRPr="00A335E8">
              <w:rPr>
                <w:b/>
                <w:lang w:val="sr-Cyrl-CS"/>
              </w:rPr>
              <w:t>Индекс</w:t>
            </w:r>
          </w:p>
          <w:p w:rsidR="007D2641" w:rsidRPr="00A335E8" w:rsidRDefault="007D2641" w:rsidP="00EB455B">
            <w:pPr>
              <w:jc w:val="center"/>
              <w:rPr>
                <w:b/>
                <w:lang w:val="sr-Cyrl-CS"/>
              </w:rPr>
            </w:pPr>
            <w:r w:rsidRPr="00A335E8">
              <w:rPr>
                <w:b/>
                <w:lang w:val="sr-Cyrl-CS"/>
              </w:rPr>
              <w:t>201</w:t>
            </w:r>
            <w:r w:rsidRPr="00A335E8">
              <w:rPr>
                <w:b/>
                <w:lang w:val="sr-Latn-BA"/>
              </w:rPr>
              <w:t>8</w:t>
            </w:r>
            <w:r w:rsidRPr="00A335E8">
              <w:rPr>
                <w:b/>
                <w:lang w:val="sr-Cyrl-CS"/>
              </w:rPr>
              <w:t>/201</w:t>
            </w:r>
            <w:r w:rsidRPr="00A335E8">
              <w:rPr>
                <w:b/>
                <w:lang w:val="sr-Latn-BA"/>
              </w:rPr>
              <w:t>7</w:t>
            </w:r>
            <w:r w:rsidRPr="00A335E8">
              <w:rPr>
                <w:b/>
                <w:lang w:val="sr-Cyrl-CS"/>
              </w:rPr>
              <w:t>.</w:t>
            </w:r>
          </w:p>
        </w:tc>
      </w:tr>
      <w:tr w:rsidR="007D2641" w:rsidRPr="0006009A" w:rsidTr="00EB455B">
        <w:tc>
          <w:tcPr>
            <w:tcW w:w="737" w:type="dxa"/>
            <w:shd w:val="clear" w:color="auto" w:fill="auto"/>
          </w:tcPr>
          <w:p w:rsidR="007D2641" w:rsidRPr="0006009A" w:rsidRDefault="007D2641" w:rsidP="00EB455B">
            <w:pPr>
              <w:jc w:val="right"/>
              <w:rPr>
                <w:b/>
                <w:lang w:val="sr-Cyrl-CS"/>
              </w:rPr>
            </w:pPr>
            <w:r w:rsidRPr="0006009A">
              <w:rPr>
                <w:b/>
                <w:lang w:val="sr-Cyrl-CS"/>
              </w:rPr>
              <w:t>1.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7D2641" w:rsidRPr="0006009A" w:rsidRDefault="007D2641" w:rsidP="00EB455B">
            <w:pPr>
              <w:rPr>
                <w:b/>
                <w:lang w:val="sr-Cyrl-CS"/>
              </w:rPr>
            </w:pPr>
            <w:r w:rsidRPr="0006009A">
              <w:rPr>
                <w:b/>
                <w:lang w:val="sr-Cyrl-CS"/>
              </w:rPr>
              <w:t>Пословна  актива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D2641" w:rsidRPr="0006009A" w:rsidRDefault="007D2641" w:rsidP="00EB455B">
            <w:pPr>
              <w:jc w:val="right"/>
              <w:rPr>
                <w:b/>
                <w:lang w:val="sr-Latn-BA"/>
              </w:rPr>
            </w:pPr>
            <w:r w:rsidRPr="0006009A">
              <w:rPr>
                <w:b/>
                <w:lang w:val="sr-Latn-BA"/>
              </w:rPr>
              <w:t>697</w:t>
            </w:r>
            <w:r w:rsidRPr="0006009A">
              <w:rPr>
                <w:b/>
                <w:lang w:val="sr-Cyrl-BA"/>
              </w:rPr>
              <w:t>.</w:t>
            </w:r>
            <w:r w:rsidRPr="0006009A">
              <w:rPr>
                <w:b/>
                <w:lang w:val="sr-Latn-BA"/>
              </w:rPr>
              <w:t>885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D2641" w:rsidRPr="0006009A" w:rsidRDefault="007D2641" w:rsidP="00EB455B">
            <w:pPr>
              <w:jc w:val="right"/>
              <w:rPr>
                <w:b/>
                <w:lang w:val="sr-Latn-BA"/>
              </w:rPr>
            </w:pPr>
            <w:r w:rsidRPr="0006009A">
              <w:rPr>
                <w:b/>
                <w:lang w:val="sr-Latn-BA"/>
              </w:rPr>
              <w:t>725</w:t>
            </w:r>
            <w:r w:rsidRPr="0006009A">
              <w:rPr>
                <w:b/>
                <w:lang w:val="sr-Cyrl-BA"/>
              </w:rPr>
              <w:t>.</w:t>
            </w:r>
            <w:r w:rsidRPr="0006009A">
              <w:rPr>
                <w:b/>
                <w:lang w:val="sr-Latn-BA"/>
              </w:rPr>
              <w:t>603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6009A" w:rsidRDefault="007D2641" w:rsidP="00EB455B">
            <w:pPr>
              <w:jc w:val="right"/>
              <w:rPr>
                <w:b/>
                <w:lang w:val="sr-Latn-BA"/>
              </w:rPr>
            </w:pPr>
            <w:r w:rsidRPr="0006009A">
              <w:rPr>
                <w:b/>
                <w:lang w:val="sr-Latn-BA"/>
              </w:rPr>
              <w:t>96</w:t>
            </w:r>
            <w:r w:rsidRPr="0006009A">
              <w:rPr>
                <w:b/>
                <w:lang w:val="sr-Cyrl-BA"/>
              </w:rPr>
              <w:t>,1</w:t>
            </w:r>
            <w:r w:rsidRPr="0006009A">
              <w:rPr>
                <w:b/>
                <w:lang w:val="sr-Latn-BA"/>
              </w:rPr>
              <w:t>8</w:t>
            </w:r>
          </w:p>
        </w:tc>
      </w:tr>
      <w:tr w:rsidR="007D2641" w:rsidRPr="00CF1E71" w:rsidTr="00EB455B">
        <w:tc>
          <w:tcPr>
            <w:tcW w:w="737" w:type="dxa"/>
            <w:shd w:val="clear" w:color="auto" w:fill="auto"/>
          </w:tcPr>
          <w:p w:rsidR="007D2641" w:rsidRPr="00CF1E71" w:rsidRDefault="007D2641" w:rsidP="00EB455B">
            <w:pPr>
              <w:jc w:val="right"/>
              <w:rPr>
                <w:color w:val="FF0000"/>
                <w:lang w:val="sr-Cyrl-CS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7D2641" w:rsidRPr="0006009A" w:rsidRDefault="007D2641" w:rsidP="00EB455B">
            <w:pPr>
              <w:rPr>
                <w:lang w:val="sr-Cyrl-CS"/>
              </w:rPr>
            </w:pPr>
            <w:r w:rsidRPr="0006009A">
              <w:rPr>
                <w:lang w:val="sr-Cyrl-CS"/>
              </w:rPr>
              <w:t>- Стална средства</w:t>
            </w:r>
          </w:p>
          <w:p w:rsidR="007D2641" w:rsidRPr="0006009A" w:rsidRDefault="007D2641" w:rsidP="00EB455B">
            <w:pPr>
              <w:rPr>
                <w:lang w:val="sr-Latn-CS"/>
              </w:rPr>
            </w:pPr>
            <w:r w:rsidRPr="0006009A">
              <w:rPr>
                <w:lang w:val="sr-Cyrl-CS"/>
              </w:rPr>
              <w:t>- Текућа средства</w:t>
            </w:r>
          </w:p>
          <w:p w:rsidR="007D2641" w:rsidRPr="0006009A" w:rsidRDefault="007D2641" w:rsidP="00EB455B">
            <w:pPr>
              <w:rPr>
                <w:lang w:val="sr-Cyrl-CS"/>
              </w:rPr>
            </w:pPr>
            <w:r w:rsidRPr="0006009A">
              <w:rPr>
                <w:lang w:val="sr-Latn-CS"/>
              </w:rPr>
              <w:t xml:space="preserve">- </w:t>
            </w:r>
            <w:r w:rsidRPr="0006009A">
              <w:rPr>
                <w:lang w:val="sr-Cyrl-CS"/>
              </w:rPr>
              <w:t xml:space="preserve">Губитак изнад   капитала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D2641" w:rsidRPr="0006009A" w:rsidRDefault="007D2641" w:rsidP="00EB455B">
            <w:pPr>
              <w:jc w:val="right"/>
              <w:rPr>
                <w:lang w:val="sr-Latn-BA"/>
              </w:rPr>
            </w:pPr>
            <w:r w:rsidRPr="0006009A">
              <w:rPr>
                <w:lang w:val="sr-Latn-CS"/>
              </w:rPr>
              <w:t xml:space="preserve">41.627      440.988   </w:t>
            </w:r>
            <w:r w:rsidRPr="0006009A">
              <w:rPr>
                <w:lang w:val="sr-Cyrl-BA"/>
              </w:rPr>
              <w:t>2</w:t>
            </w:r>
            <w:r w:rsidRPr="0006009A">
              <w:rPr>
                <w:lang w:val="sr-Latn-BA"/>
              </w:rPr>
              <w:t>15.270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D2641" w:rsidRPr="0006009A" w:rsidRDefault="007D2641" w:rsidP="00EB455B">
            <w:pPr>
              <w:jc w:val="right"/>
              <w:rPr>
                <w:lang w:val="sr-Latn-BA"/>
              </w:rPr>
            </w:pPr>
            <w:r w:rsidRPr="0006009A">
              <w:rPr>
                <w:lang w:val="sr-Latn-BA"/>
              </w:rPr>
              <w:t>3.837</w:t>
            </w:r>
          </w:p>
          <w:p w:rsidR="007D2641" w:rsidRPr="0006009A" w:rsidRDefault="007D2641" w:rsidP="00EB455B">
            <w:pPr>
              <w:jc w:val="right"/>
              <w:rPr>
                <w:lang w:val="sr-Latn-BA"/>
              </w:rPr>
            </w:pPr>
            <w:r w:rsidRPr="0006009A">
              <w:rPr>
                <w:lang w:val="sr-Latn-BA"/>
              </w:rPr>
              <w:t>497</w:t>
            </w:r>
            <w:r w:rsidRPr="0006009A">
              <w:rPr>
                <w:lang w:val="sr-Cyrl-BA"/>
              </w:rPr>
              <w:t>.</w:t>
            </w:r>
            <w:r w:rsidRPr="0006009A">
              <w:rPr>
                <w:lang w:val="sr-Latn-BA"/>
              </w:rPr>
              <w:t>663</w:t>
            </w:r>
          </w:p>
          <w:p w:rsidR="007D2641" w:rsidRPr="0006009A" w:rsidRDefault="007D2641" w:rsidP="00EB455B">
            <w:pPr>
              <w:jc w:val="right"/>
              <w:rPr>
                <w:lang w:val="sr-Latn-BA"/>
              </w:rPr>
            </w:pPr>
            <w:r w:rsidRPr="0006009A">
              <w:rPr>
                <w:lang w:val="sr-Latn-BA"/>
              </w:rPr>
              <w:t>224</w:t>
            </w:r>
            <w:r w:rsidRPr="0006009A">
              <w:rPr>
                <w:lang w:val="sr-Cyrl-BA"/>
              </w:rPr>
              <w:t>.</w:t>
            </w:r>
            <w:r w:rsidRPr="0006009A">
              <w:rPr>
                <w:lang w:val="sr-Latn-BA"/>
              </w:rPr>
              <w:t>103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6009A" w:rsidRDefault="007D2641" w:rsidP="00EB455B">
            <w:pPr>
              <w:jc w:val="right"/>
              <w:rPr>
                <w:lang w:val="sr-Latn-BA"/>
              </w:rPr>
            </w:pPr>
            <w:r w:rsidRPr="0006009A">
              <w:rPr>
                <w:lang w:val="sr-Latn-BA"/>
              </w:rPr>
              <w:t>1084,88</w:t>
            </w:r>
            <w:r w:rsidRPr="0006009A">
              <w:rPr>
                <w:lang w:val="sr-Cyrl-BA"/>
              </w:rPr>
              <w:t xml:space="preserve">  </w:t>
            </w:r>
            <w:r w:rsidRPr="0006009A">
              <w:rPr>
                <w:lang w:val="sr-Latn-CS"/>
              </w:rPr>
              <w:t xml:space="preserve">  88</w:t>
            </w:r>
            <w:r w:rsidRPr="0006009A">
              <w:rPr>
                <w:lang w:val="sr-Cyrl-BA"/>
              </w:rPr>
              <w:t>,</w:t>
            </w:r>
            <w:r w:rsidRPr="0006009A">
              <w:rPr>
                <w:lang w:val="sr-Latn-BA"/>
              </w:rPr>
              <w:t>61</w:t>
            </w:r>
            <w:r w:rsidRPr="0006009A">
              <w:rPr>
                <w:lang w:val="sr-Latn-CS"/>
              </w:rPr>
              <w:t xml:space="preserve">   96</w:t>
            </w:r>
            <w:r w:rsidRPr="0006009A">
              <w:rPr>
                <w:lang w:val="sr-Cyrl-BA"/>
              </w:rPr>
              <w:t>,0</w:t>
            </w:r>
            <w:r w:rsidRPr="0006009A">
              <w:rPr>
                <w:lang w:val="sr-Latn-BA"/>
              </w:rPr>
              <w:t>6</w:t>
            </w:r>
          </w:p>
        </w:tc>
      </w:tr>
      <w:tr w:rsidR="007D2641" w:rsidRPr="00CF5B4A" w:rsidTr="00EB455B">
        <w:trPr>
          <w:trHeight w:val="391"/>
        </w:trPr>
        <w:tc>
          <w:tcPr>
            <w:tcW w:w="737" w:type="dxa"/>
            <w:shd w:val="clear" w:color="auto" w:fill="auto"/>
          </w:tcPr>
          <w:p w:rsidR="007D2641" w:rsidRPr="00CF5B4A" w:rsidRDefault="007D2641" w:rsidP="00EB455B">
            <w:pPr>
              <w:jc w:val="right"/>
              <w:rPr>
                <w:lang w:val="sr-Cyrl-CS"/>
              </w:rPr>
            </w:pPr>
            <w:r w:rsidRPr="00CF5B4A">
              <w:rPr>
                <w:lang w:val="sr-Cyrl-CS"/>
              </w:rPr>
              <w:t>2.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7D2641" w:rsidRPr="00CF5B4A" w:rsidRDefault="007D2641" w:rsidP="00EB455B">
            <w:pPr>
              <w:rPr>
                <w:lang w:val="sr-Cyrl-CS"/>
              </w:rPr>
            </w:pPr>
            <w:r w:rsidRPr="00CF5B4A">
              <w:rPr>
                <w:lang w:val="sr-Cyrl-CS"/>
              </w:rPr>
              <w:t>Ванбилансна актива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D2641" w:rsidRPr="00CF5B4A" w:rsidRDefault="007D2641" w:rsidP="00EB455B">
            <w:pPr>
              <w:jc w:val="right"/>
              <w:rPr>
                <w:lang w:val="sr-Cyrl-BA"/>
              </w:rPr>
            </w:pPr>
            <w:r w:rsidRPr="00CF5B4A">
              <w:rPr>
                <w:lang w:val="sr-Latn-CS"/>
              </w:rPr>
              <w:t>7.223.275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D2641" w:rsidRPr="00CF5B4A" w:rsidRDefault="007D2641" w:rsidP="00EB455B">
            <w:pPr>
              <w:jc w:val="right"/>
              <w:rPr>
                <w:lang w:val="sr-Latn-BA"/>
              </w:rPr>
            </w:pPr>
            <w:r w:rsidRPr="00CF5B4A">
              <w:rPr>
                <w:lang w:val="sr-Cyrl-CS"/>
              </w:rPr>
              <w:t>7.2</w:t>
            </w:r>
            <w:r w:rsidRPr="00CF5B4A">
              <w:rPr>
                <w:lang w:val="sr-Latn-BA"/>
              </w:rPr>
              <w:t>19</w:t>
            </w:r>
            <w:r w:rsidRPr="00CF5B4A">
              <w:rPr>
                <w:lang w:val="sr-Cyrl-CS"/>
              </w:rPr>
              <w:t>.</w:t>
            </w:r>
            <w:r w:rsidRPr="00CF5B4A">
              <w:rPr>
                <w:lang w:val="sr-Latn-BA"/>
              </w:rPr>
              <w:t>209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CF5B4A" w:rsidRDefault="007D2641" w:rsidP="00EB455B">
            <w:pPr>
              <w:jc w:val="right"/>
              <w:rPr>
                <w:lang w:val="sr-Latn-BA"/>
              </w:rPr>
            </w:pPr>
            <w:r w:rsidRPr="00CF5B4A">
              <w:rPr>
                <w:lang w:val="sr-Latn-BA"/>
              </w:rPr>
              <w:t>100</w:t>
            </w:r>
            <w:r w:rsidRPr="00CF5B4A">
              <w:rPr>
                <w:lang w:val="sr-Cyrl-BA"/>
              </w:rPr>
              <w:t>,</w:t>
            </w:r>
            <w:r w:rsidRPr="00CF5B4A">
              <w:rPr>
                <w:lang w:val="sr-Latn-BA"/>
              </w:rPr>
              <w:t>06</w:t>
            </w:r>
          </w:p>
        </w:tc>
      </w:tr>
      <w:tr w:rsidR="007D2641" w:rsidRPr="000C4ACF" w:rsidTr="00EB455B">
        <w:trPr>
          <w:trHeight w:val="391"/>
        </w:trPr>
        <w:tc>
          <w:tcPr>
            <w:tcW w:w="737" w:type="dxa"/>
            <w:shd w:val="clear" w:color="auto" w:fill="auto"/>
          </w:tcPr>
          <w:p w:rsidR="007D2641" w:rsidRPr="000C4ACF" w:rsidRDefault="007D2641" w:rsidP="00EB455B">
            <w:pPr>
              <w:jc w:val="right"/>
              <w:rPr>
                <w:b/>
                <w:lang w:val="sr-Cyrl-CS"/>
              </w:rPr>
            </w:pPr>
            <w:r w:rsidRPr="000C4ACF">
              <w:rPr>
                <w:b/>
                <w:lang w:val="sr-Cyrl-CS"/>
              </w:rPr>
              <w:t>3.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7D2641" w:rsidRPr="000C4ACF" w:rsidRDefault="007D2641" w:rsidP="00EB455B">
            <w:pPr>
              <w:rPr>
                <w:b/>
                <w:lang w:val="sr-Cyrl-CS"/>
              </w:rPr>
            </w:pPr>
            <w:r w:rsidRPr="000C4ACF">
              <w:rPr>
                <w:b/>
                <w:lang w:val="sr-Cyrl-CS"/>
              </w:rPr>
              <w:t>Пословна пасива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D2641" w:rsidRPr="000C4ACF" w:rsidRDefault="007D2641" w:rsidP="00EB455B">
            <w:pPr>
              <w:jc w:val="right"/>
              <w:rPr>
                <w:b/>
                <w:lang w:val="sr-Latn-BA"/>
              </w:rPr>
            </w:pPr>
            <w:r w:rsidRPr="000C4ACF">
              <w:rPr>
                <w:b/>
                <w:lang w:val="sr-Latn-BA"/>
              </w:rPr>
              <w:t>697.885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D2641" w:rsidRPr="000C4ACF" w:rsidRDefault="007D2641" w:rsidP="00EB455B">
            <w:pPr>
              <w:jc w:val="right"/>
              <w:rPr>
                <w:b/>
                <w:lang w:val="sr-Latn-BA"/>
              </w:rPr>
            </w:pPr>
            <w:r w:rsidRPr="000C4ACF">
              <w:rPr>
                <w:b/>
                <w:lang w:val="sr-Latn-BA"/>
              </w:rPr>
              <w:t>725.603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0C4ACF" w:rsidRDefault="007D2641" w:rsidP="00EB455B">
            <w:pPr>
              <w:jc w:val="center"/>
              <w:rPr>
                <w:b/>
                <w:lang w:val="sr-Latn-BA"/>
              </w:rPr>
            </w:pPr>
            <w:r w:rsidRPr="000C4ACF">
              <w:rPr>
                <w:b/>
                <w:lang w:val="sr-Cyrl-BA"/>
              </w:rPr>
              <w:t xml:space="preserve">           </w:t>
            </w:r>
            <w:r w:rsidRPr="000C4ACF">
              <w:rPr>
                <w:b/>
                <w:lang w:val="sr-Latn-BA"/>
              </w:rPr>
              <w:t>96,18</w:t>
            </w:r>
          </w:p>
        </w:tc>
      </w:tr>
      <w:tr w:rsidR="007D2641" w:rsidRPr="00CF1E71" w:rsidTr="00EB455B">
        <w:trPr>
          <w:trHeight w:val="1255"/>
        </w:trPr>
        <w:tc>
          <w:tcPr>
            <w:tcW w:w="737" w:type="dxa"/>
            <w:shd w:val="clear" w:color="auto" w:fill="auto"/>
          </w:tcPr>
          <w:p w:rsidR="007D2641" w:rsidRPr="00CF1E71" w:rsidRDefault="007D2641" w:rsidP="00EB455B">
            <w:pPr>
              <w:jc w:val="right"/>
              <w:rPr>
                <w:color w:val="FF0000"/>
                <w:lang w:val="sr-Cyrl-CS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7D2641" w:rsidRPr="00CC258E" w:rsidRDefault="007D2641" w:rsidP="00EB455B">
            <w:pPr>
              <w:rPr>
                <w:lang w:val="sr-Cyrl-CS"/>
              </w:rPr>
            </w:pPr>
            <w:r w:rsidRPr="00CC258E">
              <w:rPr>
                <w:lang w:val="sr-Cyrl-CS"/>
              </w:rPr>
              <w:t xml:space="preserve">- Капитал </w:t>
            </w:r>
          </w:p>
          <w:p w:rsidR="007D2641" w:rsidRPr="00CC258E" w:rsidRDefault="007D2641" w:rsidP="00EB455B">
            <w:pPr>
              <w:rPr>
                <w:lang w:val="sr-Cyrl-CS"/>
              </w:rPr>
            </w:pPr>
            <w:r w:rsidRPr="00CC258E">
              <w:rPr>
                <w:lang w:val="sr-Cyrl-CS"/>
              </w:rPr>
              <w:t>- Дугорочне обавезе</w:t>
            </w:r>
          </w:p>
          <w:p w:rsidR="007D2641" w:rsidRPr="00CC258E" w:rsidRDefault="007D2641" w:rsidP="00EB455B">
            <w:pPr>
              <w:rPr>
                <w:lang w:val="sr-Cyrl-CS"/>
              </w:rPr>
            </w:pPr>
            <w:r w:rsidRPr="00CC258E">
              <w:rPr>
                <w:lang w:val="sr-Cyrl-CS"/>
              </w:rPr>
              <w:t>- Краткорочне обавезе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D2641" w:rsidRPr="00CC258E" w:rsidRDefault="007D2641" w:rsidP="00EB455B">
            <w:pPr>
              <w:jc w:val="right"/>
              <w:rPr>
                <w:lang w:val="sr-Latn-BA"/>
              </w:rPr>
            </w:pPr>
            <w:r w:rsidRPr="00CC258E">
              <w:rPr>
                <w:lang w:val="sr-Latn-CS"/>
              </w:rPr>
              <w:t xml:space="preserve">-              </w:t>
            </w:r>
            <w:r w:rsidRPr="00CC258E">
              <w:rPr>
                <w:lang w:val="sr-Latn-BA"/>
              </w:rPr>
              <w:t>273</w:t>
            </w:r>
            <w:r w:rsidRPr="00CC258E">
              <w:rPr>
                <w:lang w:val="sr-Cyrl-BA"/>
              </w:rPr>
              <w:t>.</w:t>
            </w:r>
            <w:r w:rsidRPr="00CC258E">
              <w:rPr>
                <w:lang w:val="sr-Latn-BA"/>
              </w:rPr>
              <w:t>911</w:t>
            </w:r>
          </w:p>
          <w:p w:rsidR="007D2641" w:rsidRPr="00CC258E" w:rsidRDefault="007D2641" w:rsidP="00EB455B">
            <w:pPr>
              <w:jc w:val="right"/>
              <w:rPr>
                <w:lang w:val="sr-Cyrl-BA"/>
              </w:rPr>
            </w:pPr>
            <w:r w:rsidRPr="00CC258E">
              <w:rPr>
                <w:lang w:val="sr-Latn-BA"/>
              </w:rPr>
              <w:t>423.974</w:t>
            </w:r>
            <w:r w:rsidRPr="00CC258E">
              <w:rPr>
                <w:lang w:val="sr-Cyrl-BA"/>
              </w:rPr>
              <w:t xml:space="preserve"> 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D2641" w:rsidRPr="00CC258E" w:rsidRDefault="007D2641" w:rsidP="00EB455B">
            <w:pPr>
              <w:jc w:val="right"/>
              <w:rPr>
                <w:lang w:val="sr-Latn-BA"/>
              </w:rPr>
            </w:pPr>
            <w:r w:rsidRPr="00CC258E">
              <w:rPr>
                <w:lang w:val="sr-Latn-BA"/>
              </w:rPr>
              <w:t>-</w:t>
            </w:r>
          </w:p>
          <w:p w:rsidR="007D2641" w:rsidRPr="00CC258E" w:rsidRDefault="007D2641" w:rsidP="00EB455B">
            <w:pPr>
              <w:jc w:val="right"/>
              <w:rPr>
                <w:lang w:val="sr-Latn-BA"/>
              </w:rPr>
            </w:pPr>
            <w:r w:rsidRPr="00CC258E">
              <w:rPr>
                <w:lang w:val="sr-Latn-BA"/>
              </w:rPr>
              <w:t>350</w:t>
            </w:r>
            <w:r w:rsidRPr="00CC258E">
              <w:rPr>
                <w:lang w:val="sr-Cyrl-BA"/>
              </w:rPr>
              <w:t>.8</w:t>
            </w:r>
            <w:r w:rsidRPr="00CC258E">
              <w:rPr>
                <w:lang w:val="sr-Latn-BA"/>
              </w:rPr>
              <w:t>65</w:t>
            </w:r>
          </w:p>
          <w:p w:rsidR="007D2641" w:rsidRPr="00CC258E" w:rsidRDefault="007D2641" w:rsidP="00EB455B">
            <w:pPr>
              <w:jc w:val="right"/>
              <w:rPr>
                <w:lang w:val="sr-Latn-BA"/>
              </w:rPr>
            </w:pPr>
            <w:r w:rsidRPr="00CC258E">
              <w:rPr>
                <w:lang w:val="sr-Latn-CS"/>
              </w:rPr>
              <w:t>3</w:t>
            </w:r>
            <w:r w:rsidRPr="00CC258E">
              <w:rPr>
                <w:lang w:val="sr-Cyrl-BA"/>
              </w:rPr>
              <w:t>74</w:t>
            </w:r>
            <w:r w:rsidRPr="00CC258E">
              <w:rPr>
                <w:lang w:val="sr-Latn-CS"/>
              </w:rPr>
              <w:t>.</w:t>
            </w:r>
            <w:r w:rsidRPr="00CC258E">
              <w:rPr>
                <w:lang w:val="sr-Latn-BA"/>
              </w:rPr>
              <w:t>738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CC258E" w:rsidRDefault="007D2641" w:rsidP="00EB455B">
            <w:pPr>
              <w:jc w:val="right"/>
              <w:rPr>
                <w:lang w:val="sr-Cyrl-BA"/>
              </w:rPr>
            </w:pPr>
            <w:r w:rsidRPr="00CC258E">
              <w:rPr>
                <w:lang w:val="sr-Latn-BA"/>
              </w:rPr>
              <w:t xml:space="preserve">-           </w:t>
            </w:r>
            <w:r w:rsidRPr="00CC258E">
              <w:rPr>
                <w:lang w:val="sr-Cyrl-BA"/>
              </w:rPr>
              <w:t>7</w:t>
            </w:r>
            <w:r w:rsidRPr="00CC258E">
              <w:rPr>
                <w:lang w:val="sr-Latn-BA"/>
              </w:rPr>
              <w:t>8</w:t>
            </w:r>
            <w:r w:rsidRPr="00CC258E">
              <w:rPr>
                <w:lang w:val="sr-Cyrl-BA"/>
              </w:rPr>
              <w:t>,</w:t>
            </w:r>
            <w:r w:rsidRPr="00CC258E">
              <w:rPr>
                <w:lang w:val="sr-Latn-BA"/>
              </w:rPr>
              <w:t>07  113,14</w:t>
            </w:r>
          </w:p>
        </w:tc>
      </w:tr>
      <w:tr w:rsidR="007D2641" w:rsidRPr="00CF1E71" w:rsidTr="00EB455B">
        <w:trPr>
          <w:trHeight w:val="445"/>
        </w:trPr>
        <w:tc>
          <w:tcPr>
            <w:tcW w:w="737" w:type="dxa"/>
            <w:shd w:val="clear" w:color="auto" w:fill="auto"/>
          </w:tcPr>
          <w:p w:rsidR="007D2641" w:rsidRPr="00CC258E" w:rsidRDefault="007D2641" w:rsidP="00EB455B">
            <w:pPr>
              <w:jc w:val="right"/>
              <w:rPr>
                <w:lang w:val="sr-Cyrl-CS"/>
              </w:rPr>
            </w:pPr>
            <w:r w:rsidRPr="00CC258E">
              <w:rPr>
                <w:lang w:val="sr-Cyrl-CS"/>
              </w:rPr>
              <w:t>4.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7D2641" w:rsidRPr="00CC258E" w:rsidRDefault="007D2641" w:rsidP="00EB455B">
            <w:pPr>
              <w:rPr>
                <w:lang w:val="sr-Cyrl-CS"/>
              </w:rPr>
            </w:pPr>
            <w:r w:rsidRPr="00CC258E">
              <w:rPr>
                <w:lang w:val="sr-Cyrl-CS"/>
              </w:rPr>
              <w:t>Ванбилансна пасива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D2641" w:rsidRPr="00CC258E" w:rsidRDefault="007D2641" w:rsidP="00EB455B">
            <w:pPr>
              <w:jc w:val="right"/>
              <w:rPr>
                <w:lang w:val="sr-Latn-BA"/>
              </w:rPr>
            </w:pPr>
            <w:r w:rsidRPr="00CC258E">
              <w:rPr>
                <w:lang w:val="sr-Cyrl-CS"/>
              </w:rPr>
              <w:t>7.2</w:t>
            </w:r>
            <w:r w:rsidRPr="00CC258E">
              <w:rPr>
                <w:lang w:val="sr-Latn-BA"/>
              </w:rPr>
              <w:t>23</w:t>
            </w:r>
            <w:r w:rsidRPr="00CC258E">
              <w:rPr>
                <w:lang w:val="sr-Cyrl-CS"/>
              </w:rPr>
              <w:t>.</w:t>
            </w:r>
            <w:r w:rsidRPr="00CC258E">
              <w:rPr>
                <w:lang w:val="sr-Latn-BA"/>
              </w:rPr>
              <w:t>275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7D2641" w:rsidRPr="00CC258E" w:rsidRDefault="007D2641" w:rsidP="00EB455B">
            <w:pPr>
              <w:jc w:val="right"/>
              <w:rPr>
                <w:lang w:val="sr-Latn-BA"/>
              </w:rPr>
            </w:pPr>
            <w:r w:rsidRPr="00CC258E">
              <w:rPr>
                <w:lang w:val="sr-Cyrl-CS"/>
              </w:rPr>
              <w:t>7.2</w:t>
            </w:r>
            <w:r w:rsidRPr="00CC258E">
              <w:rPr>
                <w:lang w:val="sr-Latn-BA"/>
              </w:rPr>
              <w:t>19</w:t>
            </w:r>
            <w:r w:rsidRPr="00CC258E">
              <w:rPr>
                <w:lang w:val="sr-Cyrl-CS"/>
              </w:rPr>
              <w:t>.</w:t>
            </w:r>
            <w:r w:rsidRPr="00CC258E">
              <w:rPr>
                <w:lang w:val="sr-Latn-BA"/>
              </w:rPr>
              <w:t>209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D2641" w:rsidRPr="00CC258E" w:rsidRDefault="007D2641" w:rsidP="00EB455B">
            <w:pPr>
              <w:jc w:val="right"/>
              <w:rPr>
                <w:lang w:val="sr-Latn-BA"/>
              </w:rPr>
            </w:pPr>
            <w:r w:rsidRPr="00CC258E">
              <w:rPr>
                <w:lang w:val="sr-Latn-BA"/>
              </w:rPr>
              <w:t>100</w:t>
            </w:r>
            <w:r w:rsidRPr="00CC258E">
              <w:rPr>
                <w:lang w:val="sr-Cyrl-BA"/>
              </w:rPr>
              <w:t>,</w:t>
            </w:r>
            <w:r w:rsidRPr="00CC258E">
              <w:rPr>
                <w:lang w:val="sr-Latn-BA"/>
              </w:rPr>
              <w:t>06</w:t>
            </w:r>
          </w:p>
        </w:tc>
      </w:tr>
    </w:tbl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CC258E" w:rsidRDefault="007D2641" w:rsidP="007D2641">
      <w:pPr>
        <w:jc w:val="both"/>
        <w:rPr>
          <w:u w:val="single"/>
          <w:lang w:val="sr-Cyrl-CS"/>
        </w:rPr>
      </w:pPr>
      <w:r w:rsidRPr="00CC258E">
        <w:rPr>
          <w:u w:val="single"/>
          <w:lang w:val="sr-Cyrl-CS"/>
        </w:rPr>
        <w:t>Напомена 21.</w:t>
      </w:r>
    </w:p>
    <w:p w:rsidR="007D2641" w:rsidRPr="007F6992" w:rsidRDefault="007D2641" w:rsidP="007D2641">
      <w:pPr>
        <w:jc w:val="both"/>
        <w:rPr>
          <w:lang w:val="sr-Cyrl-BA"/>
        </w:rPr>
      </w:pPr>
      <w:r w:rsidRPr="007F6992">
        <w:rPr>
          <w:lang w:val="sr-Cyrl-CS"/>
        </w:rPr>
        <w:t xml:space="preserve">Постројења и опрема (АОП 011) односе се на основна средства фирме  и износе </w:t>
      </w:r>
      <w:r w:rsidRPr="007F6992">
        <w:rPr>
          <w:lang w:val="sr-Latn-BA"/>
        </w:rPr>
        <w:t>41</w:t>
      </w:r>
      <w:r w:rsidRPr="007F6992">
        <w:rPr>
          <w:lang w:val="sr-Cyrl-CS"/>
        </w:rPr>
        <w:t>.</w:t>
      </w:r>
      <w:r w:rsidRPr="007F6992">
        <w:rPr>
          <w:lang w:val="sr-Latn-BA"/>
        </w:rPr>
        <w:t>627</w:t>
      </w:r>
      <w:r w:rsidRPr="007F6992">
        <w:rPr>
          <w:lang w:val="sr-Cyrl-CS"/>
        </w:rPr>
        <w:t xml:space="preserve"> КМ, </w:t>
      </w:r>
      <w:r w:rsidRPr="007F6992">
        <w:rPr>
          <w:lang w:val="sr-Cyrl-BA"/>
        </w:rPr>
        <w:t>већа су у односу на претходну годину због набавке новог аута</w:t>
      </w:r>
      <w:r w:rsidR="00CF29E6">
        <w:rPr>
          <w:lang w:val="sr-Cyrl-BA"/>
        </w:rPr>
        <w:t>,</w:t>
      </w:r>
      <w:r w:rsidRPr="007F6992">
        <w:rPr>
          <w:lang w:val="sr-Cyrl-BA"/>
        </w:rPr>
        <w:t xml:space="preserve"> </w:t>
      </w:r>
      <w:r w:rsidR="00434740">
        <w:rPr>
          <w:lang w:val="sr-Latn-BA"/>
        </w:rPr>
        <w:t>Škoda Octavia</w:t>
      </w:r>
      <w:r w:rsidRPr="007F6992">
        <w:rPr>
          <w:lang w:val="sr-Cyrl-BA"/>
        </w:rPr>
        <w:t>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7F6992" w:rsidRDefault="007D2641" w:rsidP="007D2641">
      <w:pPr>
        <w:jc w:val="both"/>
        <w:rPr>
          <w:u w:val="single"/>
          <w:lang w:val="sr-Cyrl-CS"/>
        </w:rPr>
      </w:pPr>
      <w:r w:rsidRPr="007F6992">
        <w:rPr>
          <w:u w:val="single"/>
          <w:lang w:val="sr-Cyrl-CS"/>
        </w:rPr>
        <w:t>Напомена 22.</w:t>
      </w:r>
    </w:p>
    <w:p w:rsidR="007D2641" w:rsidRPr="00D205A7" w:rsidRDefault="007D2641" w:rsidP="007D2641">
      <w:pPr>
        <w:jc w:val="both"/>
        <w:rPr>
          <w:lang w:val="sr-Cyrl-CS"/>
        </w:rPr>
      </w:pPr>
      <w:r w:rsidRPr="00DB328B">
        <w:rPr>
          <w:lang w:val="sr-Cyrl-CS"/>
        </w:rPr>
        <w:t>Купци у земљи (АОП 042)</w:t>
      </w:r>
      <w:r w:rsidR="00CF29E6">
        <w:rPr>
          <w:lang w:val="sr-Cyrl-CS"/>
        </w:rPr>
        <w:t xml:space="preserve"> износе 406.407 КМ и релативно </w:t>
      </w:r>
      <w:r w:rsidRPr="00DB328B">
        <w:rPr>
          <w:lang w:val="sr-Cyrl-CS"/>
        </w:rPr>
        <w:t>су висок</w:t>
      </w:r>
      <w:r w:rsidRPr="00DB328B">
        <w:rPr>
          <w:lang w:val="sr-Cyrl-BA"/>
        </w:rPr>
        <w:t>и</w:t>
      </w:r>
      <w:r w:rsidRPr="00DB328B">
        <w:rPr>
          <w:lang w:val="sr-Cyrl-CS"/>
        </w:rPr>
        <w:t>, међутим  доплатне карте износе 72.804 КМ, а наведени износ представља разлику салда доплатних карата  248.304 КМ и исправке потраживања од купаца за доплатне</w:t>
      </w:r>
      <w:r w:rsidRPr="00CF1E71">
        <w:rPr>
          <w:color w:val="FF0000"/>
          <w:lang w:val="sr-Cyrl-CS"/>
        </w:rPr>
        <w:t xml:space="preserve"> </w:t>
      </w:r>
      <w:r w:rsidRPr="00D205A7">
        <w:rPr>
          <w:lang w:val="sr-Cyrl-CS"/>
        </w:rPr>
        <w:t>карте  175.500 КМ.  Исправка доплатних карата је извршена са 31.12.2017.године.  Остали купци, тј. правна лица износе  338.741  КМ и њихова рочност је приказана у</w:t>
      </w:r>
      <w:r w:rsidRPr="00CF1E71">
        <w:rPr>
          <w:color w:val="FF0000"/>
          <w:lang w:val="sr-Cyrl-CS"/>
        </w:rPr>
        <w:t xml:space="preserve"> </w:t>
      </w:r>
      <w:r w:rsidRPr="00D205A7">
        <w:rPr>
          <w:lang w:val="sr-Cyrl-CS"/>
        </w:rPr>
        <w:t>Прилогу: Преглед обавеза/потраживања конто 201000 и на конту 201400.</w:t>
      </w:r>
      <w:r w:rsidRPr="00CF1E71">
        <w:rPr>
          <w:color w:val="FF0000"/>
          <w:lang w:val="sr-Cyrl-CS"/>
        </w:rPr>
        <w:t xml:space="preserve"> </w:t>
      </w:r>
      <w:r w:rsidRPr="00D205A7">
        <w:rPr>
          <w:lang w:val="sr-Cyrl-CS"/>
        </w:rPr>
        <w:t>Потраживања се односе на следеће купце: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CF1E71" w:rsidRDefault="007D2641" w:rsidP="00CF29E6">
      <w:pPr>
        <w:jc w:val="both"/>
        <w:rPr>
          <w:color w:val="FF0000"/>
          <w:lang w:val="sr-Cyrl-CS"/>
        </w:rPr>
      </w:pPr>
    </w:p>
    <w:p w:rsidR="007D2641" w:rsidRPr="00CF29E6" w:rsidRDefault="007D2641" w:rsidP="00CF29E6">
      <w:pPr>
        <w:jc w:val="both"/>
        <w:rPr>
          <w:lang w:val="sr-Cyrl-CS"/>
        </w:rPr>
      </w:pPr>
      <w:r w:rsidRPr="00CF29E6">
        <w:rPr>
          <w:lang w:val="sr-Cyrl-CS"/>
        </w:rPr>
        <w:lastRenderedPageBreak/>
        <w:t>-</w:t>
      </w:r>
      <w:r w:rsidR="00CF29E6" w:rsidRPr="00CF29E6">
        <w:rPr>
          <w:lang w:val="sr-Cyrl-CS"/>
        </w:rPr>
        <w:t xml:space="preserve"> </w:t>
      </w:r>
      <w:r w:rsidRPr="00CF29E6">
        <w:rPr>
          <w:lang w:val="sr-Cyrl-CS"/>
        </w:rPr>
        <w:t>Град Бијељина                                                            194.761 КМ</w:t>
      </w:r>
    </w:p>
    <w:p w:rsidR="007D2641" w:rsidRPr="00CF29E6" w:rsidRDefault="007D2641" w:rsidP="00CF29E6">
      <w:pPr>
        <w:jc w:val="both"/>
        <w:rPr>
          <w:lang w:val="sr-Cyrl-CS"/>
        </w:rPr>
      </w:pPr>
      <w:r w:rsidRPr="00CF29E6">
        <w:rPr>
          <w:lang w:val="sr-Cyrl-CS"/>
        </w:rPr>
        <w:t>-</w:t>
      </w:r>
      <w:r w:rsidR="00CF29E6" w:rsidRPr="00CF29E6">
        <w:rPr>
          <w:lang w:val="sr-Cyrl-CS"/>
        </w:rPr>
        <w:t xml:space="preserve"> </w:t>
      </w:r>
      <w:r w:rsidRPr="00CF29E6">
        <w:rPr>
          <w:lang w:val="sr-Cyrl-CS"/>
        </w:rPr>
        <w:t>Физичка лица  за доплатне карте                               72.804 КМ</w:t>
      </w:r>
    </w:p>
    <w:p w:rsidR="007D2641" w:rsidRPr="00CF29E6" w:rsidRDefault="007D2641" w:rsidP="00CF29E6">
      <w:pPr>
        <w:jc w:val="both"/>
        <w:rPr>
          <w:lang w:val="sr-Cyrl-CS"/>
        </w:rPr>
      </w:pPr>
      <w:r w:rsidRPr="00CF29E6">
        <w:rPr>
          <w:lang w:val="sr-Cyrl-CS"/>
        </w:rPr>
        <w:t>-</w:t>
      </w:r>
      <w:r w:rsidR="00C31AC6">
        <w:rPr>
          <w:lang w:val="sr-Cyrl-CS"/>
        </w:rPr>
        <w:t xml:space="preserve"> </w:t>
      </w:r>
      <w:r w:rsidRPr="00CF29E6">
        <w:rPr>
          <w:lang w:val="sr-Cyrl-CS"/>
        </w:rPr>
        <w:t>Физичка лица СМС                                                     35.251 КМ</w:t>
      </w:r>
    </w:p>
    <w:p w:rsidR="007D2641" w:rsidRPr="00CF29E6" w:rsidRDefault="007D2641" w:rsidP="00CF29E6">
      <w:pPr>
        <w:jc w:val="both"/>
        <w:rPr>
          <w:lang w:val="sr-Cyrl-CS"/>
        </w:rPr>
      </w:pPr>
      <w:r w:rsidRPr="00CF29E6">
        <w:rPr>
          <w:lang w:val="sr-Cyrl-CS"/>
        </w:rPr>
        <w:t>-</w:t>
      </w:r>
      <w:r w:rsidR="00C31AC6">
        <w:rPr>
          <w:lang w:val="sr-Cyrl-CS"/>
        </w:rPr>
        <w:t xml:space="preserve"> </w:t>
      </w:r>
      <w:r w:rsidRPr="00CF29E6">
        <w:rPr>
          <w:lang w:val="sr-Cyrl-CS"/>
        </w:rPr>
        <w:t xml:space="preserve">Патриот д.о.о. Бијељина              </w:t>
      </w:r>
      <w:r w:rsidR="00C31AC6">
        <w:rPr>
          <w:lang w:val="sr-Cyrl-CS"/>
        </w:rPr>
        <w:t xml:space="preserve">                               </w:t>
      </w:r>
      <w:r w:rsidRPr="00CF29E6">
        <w:rPr>
          <w:lang w:val="sr-Cyrl-CS"/>
        </w:rPr>
        <w:t>60.009 КМ</w:t>
      </w:r>
    </w:p>
    <w:p w:rsidR="007D2641" w:rsidRPr="00CF29E6" w:rsidRDefault="007D2641" w:rsidP="00CF29E6">
      <w:pPr>
        <w:jc w:val="both"/>
        <w:rPr>
          <w:lang w:val="sr-Cyrl-BA"/>
        </w:rPr>
      </w:pPr>
      <w:r w:rsidRPr="00CF29E6">
        <w:rPr>
          <w:lang w:val="sr-Cyrl-CS"/>
        </w:rPr>
        <w:t>-</w:t>
      </w:r>
      <w:r w:rsidR="00C31AC6">
        <w:rPr>
          <w:lang w:val="sr-Cyrl-CS"/>
        </w:rPr>
        <w:t xml:space="preserve"> </w:t>
      </w:r>
      <w:r w:rsidRPr="00CF29E6">
        <w:rPr>
          <w:lang w:val="sr-Cyrl-CS"/>
        </w:rPr>
        <w:t xml:space="preserve">Киосци Алекса Бијељина             </w:t>
      </w:r>
      <w:r w:rsidR="00C31AC6">
        <w:rPr>
          <w:lang w:val="sr-Cyrl-CS"/>
        </w:rPr>
        <w:t xml:space="preserve">                               </w:t>
      </w:r>
      <w:r w:rsidRPr="00CF29E6">
        <w:rPr>
          <w:lang w:val="sr-Latn-BA"/>
        </w:rPr>
        <w:t xml:space="preserve"> </w:t>
      </w:r>
      <w:r w:rsidRPr="00CF29E6">
        <w:rPr>
          <w:lang w:val="sr-Cyrl-BA"/>
        </w:rPr>
        <w:t>8.488 КМ</w:t>
      </w:r>
    </w:p>
    <w:p w:rsidR="007D2641" w:rsidRPr="00CF29E6" w:rsidRDefault="007D2641" w:rsidP="00CF29E6">
      <w:pPr>
        <w:jc w:val="both"/>
        <w:rPr>
          <w:lang w:val="sr-Cyrl-BA"/>
        </w:rPr>
      </w:pPr>
      <w:r w:rsidRPr="00CF29E6">
        <w:rPr>
          <w:lang w:val="sr-Cyrl-BA"/>
        </w:rPr>
        <w:t>-</w:t>
      </w:r>
      <w:r w:rsidR="00C31AC6">
        <w:rPr>
          <w:lang w:val="sr-Cyrl-BA"/>
        </w:rPr>
        <w:t xml:space="preserve"> </w:t>
      </w:r>
      <w:r w:rsidRPr="00CF29E6">
        <w:rPr>
          <w:lang w:val="sr-Cyrl-BA"/>
        </w:rPr>
        <w:t>Бијељина гас д</w:t>
      </w:r>
      <w:r w:rsidR="00CF29E6" w:rsidRPr="00CF29E6">
        <w:rPr>
          <w:lang w:val="sr-Cyrl-BA"/>
        </w:rPr>
        <w:t>.</w:t>
      </w:r>
      <w:r w:rsidRPr="00CF29E6">
        <w:rPr>
          <w:lang w:val="sr-Cyrl-BA"/>
        </w:rPr>
        <w:t>о</w:t>
      </w:r>
      <w:r w:rsidR="00CF29E6" w:rsidRPr="00CF29E6">
        <w:rPr>
          <w:lang w:val="sr-Cyrl-BA"/>
        </w:rPr>
        <w:t xml:space="preserve">.о Бијељина          </w:t>
      </w:r>
      <w:r w:rsidR="00CF29E6" w:rsidRPr="00CF29E6">
        <w:rPr>
          <w:lang w:val="sr-Cyrl-BA"/>
        </w:rPr>
        <w:tab/>
        <w:t xml:space="preserve">                  </w:t>
      </w:r>
      <w:r w:rsidRPr="00CF29E6">
        <w:rPr>
          <w:lang w:val="sr-Cyrl-BA"/>
        </w:rPr>
        <w:t xml:space="preserve"> 5.897 КМ</w:t>
      </w:r>
    </w:p>
    <w:p w:rsidR="007D2641" w:rsidRPr="00CF29E6" w:rsidRDefault="007D2641" w:rsidP="00CF29E6">
      <w:pPr>
        <w:jc w:val="both"/>
        <w:rPr>
          <w:lang w:val="sr-Cyrl-CS"/>
        </w:rPr>
      </w:pPr>
      <w:r w:rsidRPr="00CF29E6">
        <w:rPr>
          <w:lang w:val="sr-Cyrl-CS"/>
        </w:rPr>
        <w:t>-</w:t>
      </w:r>
      <w:r w:rsidR="00C31AC6">
        <w:rPr>
          <w:lang w:val="sr-Cyrl-CS"/>
        </w:rPr>
        <w:t xml:space="preserve"> </w:t>
      </w:r>
      <w:r w:rsidRPr="00CF29E6">
        <w:rPr>
          <w:lang w:val="sr-Cyrl-CS"/>
        </w:rPr>
        <w:t>Алумина д</w:t>
      </w:r>
      <w:r w:rsidR="00CF29E6" w:rsidRPr="00CF29E6">
        <w:rPr>
          <w:lang w:val="sr-Cyrl-CS"/>
        </w:rPr>
        <w:t>.</w:t>
      </w:r>
      <w:r w:rsidRPr="00CF29E6">
        <w:rPr>
          <w:lang w:val="sr-Cyrl-CS"/>
        </w:rPr>
        <w:t>о</w:t>
      </w:r>
      <w:r w:rsidR="00CF29E6" w:rsidRPr="00CF29E6">
        <w:rPr>
          <w:lang w:val="sr-Cyrl-CS"/>
        </w:rPr>
        <w:t>.</w:t>
      </w:r>
      <w:r w:rsidRPr="00CF29E6">
        <w:rPr>
          <w:lang w:val="sr-Cyrl-CS"/>
        </w:rPr>
        <w:t xml:space="preserve">о Зворник                    </w:t>
      </w:r>
      <w:r w:rsidR="00CF29E6" w:rsidRPr="00CF29E6">
        <w:rPr>
          <w:lang w:val="sr-Cyrl-CS"/>
        </w:rPr>
        <w:t xml:space="preserve">                             </w:t>
      </w:r>
      <w:r w:rsidRPr="00CF29E6">
        <w:rPr>
          <w:lang w:val="sr-Cyrl-CS"/>
        </w:rPr>
        <w:t>5.002 КМ</w:t>
      </w:r>
    </w:p>
    <w:p w:rsidR="007D2641" w:rsidRPr="00CF29E6" w:rsidRDefault="00CF29E6" w:rsidP="00CF29E6">
      <w:pPr>
        <w:jc w:val="both"/>
        <w:rPr>
          <w:lang w:val="sr-Cyrl-CS"/>
        </w:rPr>
      </w:pPr>
      <w:r w:rsidRPr="00CF29E6">
        <w:rPr>
          <w:lang w:val="sr-Cyrl-CS"/>
        </w:rPr>
        <w:t>-</w:t>
      </w:r>
      <w:r w:rsidR="00C31AC6">
        <w:rPr>
          <w:lang w:val="sr-Cyrl-CS"/>
        </w:rPr>
        <w:t xml:space="preserve"> </w:t>
      </w:r>
      <w:r w:rsidRPr="00CF29E6">
        <w:rPr>
          <w:lang w:val="sr-Cyrl-CS"/>
        </w:rPr>
        <w:t>Општина Лопаре</w:t>
      </w:r>
      <w:r w:rsidRPr="00CF29E6">
        <w:rPr>
          <w:lang w:val="sr-Cyrl-CS"/>
        </w:rPr>
        <w:tab/>
      </w:r>
      <w:r w:rsidRPr="00CF29E6">
        <w:rPr>
          <w:lang w:val="sr-Cyrl-CS"/>
        </w:rPr>
        <w:tab/>
      </w:r>
      <w:r w:rsidRPr="00CF29E6">
        <w:rPr>
          <w:lang w:val="sr-Cyrl-CS"/>
        </w:rPr>
        <w:tab/>
      </w:r>
      <w:r w:rsidRPr="00CF29E6">
        <w:rPr>
          <w:lang w:val="sr-Cyrl-CS"/>
        </w:rPr>
        <w:tab/>
      </w:r>
      <w:r w:rsidRPr="00CF29E6">
        <w:rPr>
          <w:lang w:val="sr-Cyrl-CS"/>
        </w:rPr>
        <w:tab/>
        <w:t xml:space="preserve">       </w:t>
      </w:r>
      <w:r w:rsidR="007D2641" w:rsidRPr="00CF29E6">
        <w:rPr>
          <w:lang w:val="sr-Cyrl-CS"/>
        </w:rPr>
        <w:t>3.978 КМ</w:t>
      </w:r>
    </w:p>
    <w:p w:rsidR="007D2641" w:rsidRPr="00CF29E6" w:rsidRDefault="007D2641" w:rsidP="00CF29E6">
      <w:pPr>
        <w:jc w:val="both"/>
        <w:rPr>
          <w:lang w:val="sr-Cyrl-CS"/>
        </w:rPr>
      </w:pPr>
      <w:r w:rsidRPr="00CF29E6">
        <w:rPr>
          <w:lang w:val="sr-Cyrl-CS"/>
        </w:rPr>
        <w:t>-</w:t>
      </w:r>
      <w:r w:rsidR="00C31AC6">
        <w:rPr>
          <w:lang w:val="sr-Cyrl-CS"/>
        </w:rPr>
        <w:t xml:space="preserve"> </w:t>
      </w:r>
      <w:r w:rsidRPr="00CF29E6">
        <w:rPr>
          <w:lang w:val="sr-Cyrl-CS"/>
        </w:rPr>
        <w:t>ХТ</w:t>
      </w:r>
      <w:r w:rsidR="00CF29E6" w:rsidRPr="00CF29E6">
        <w:rPr>
          <w:lang w:val="sr-Cyrl-CS"/>
        </w:rPr>
        <w:t xml:space="preserve"> Еронет</w:t>
      </w:r>
      <w:r w:rsidR="00CF29E6" w:rsidRPr="00CF29E6">
        <w:rPr>
          <w:lang w:val="sr-Cyrl-CS"/>
        </w:rPr>
        <w:tab/>
      </w:r>
      <w:r w:rsidR="00CF29E6" w:rsidRPr="00CF29E6">
        <w:rPr>
          <w:lang w:val="sr-Cyrl-CS"/>
        </w:rPr>
        <w:tab/>
      </w:r>
      <w:r w:rsidR="00CF29E6" w:rsidRPr="00CF29E6">
        <w:rPr>
          <w:lang w:val="sr-Cyrl-CS"/>
        </w:rPr>
        <w:tab/>
      </w:r>
      <w:r w:rsidR="00CF29E6" w:rsidRPr="00CF29E6">
        <w:rPr>
          <w:lang w:val="sr-Cyrl-CS"/>
        </w:rPr>
        <w:tab/>
      </w:r>
      <w:r w:rsidR="00CF29E6" w:rsidRPr="00CF29E6">
        <w:rPr>
          <w:lang w:val="sr-Cyrl-CS"/>
        </w:rPr>
        <w:tab/>
        <w:t xml:space="preserve">                   </w:t>
      </w:r>
      <w:r w:rsidRPr="00CF29E6">
        <w:rPr>
          <w:lang w:val="sr-Cyrl-CS"/>
        </w:rPr>
        <w:t>2.723 КМ</w:t>
      </w:r>
    </w:p>
    <w:p w:rsidR="007D2641" w:rsidRPr="00CF29E6" w:rsidRDefault="007D2641" w:rsidP="00CF29E6">
      <w:pPr>
        <w:jc w:val="both"/>
        <w:rPr>
          <w:lang w:val="sr-Cyrl-BA"/>
        </w:rPr>
      </w:pPr>
      <w:r w:rsidRPr="00CF29E6">
        <w:rPr>
          <w:lang w:val="sr-Cyrl-BA"/>
        </w:rPr>
        <w:t>-</w:t>
      </w:r>
      <w:r w:rsidR="00C31AC6">
        <w:rPr>
          <w:lang w:val="sr-Cyrl-BA"/>
        </w:rPr>
        <w:t xml:space="preserve"> </w:t>
      </w:r>
      <w:r w:rsidRPr="00CF29E6">
        <w:rPr>
          <w:lang w:val="sr-Cyrl-BA"/>
        </w:rPr>
        <w:t xml:space="preserve">БХ </w:t>
      </w:r>
      <w:r w:rsidR="00CF29E6" w:rsidRPr="00CF29E6">
        <w:rPr>
          <w:lang w:val="sr-Cyrl-BA"/>
        </w:rPr>
        <w:t>Т</w:t>
      </w:r>
      <w:r w:rsidRPr="00CF29E6">
        <w:rPr>
          <w:lang w:val="sr-Cyrl-BA"/>
        </w:rPr>
        <w:t xml:space="preserve">елеком д.д. Сарајево              </w:t>
      </w:r>
      <w:r w:rsidR="00C31AC6">
        <w:rPr>
          <w:lang w:val="sr-Cyrl-BA"/>
        </w:rPr>
        <w:t xml:space="preserve">                              </w:t>
      </w:r>
      <w:r w:rsidRPr="00CF29E6">
        <w:rPr>
          <w:lang w:val="sr-Cyrl-BA"/>
        </w:rPr>
        <w:t xml:space="preserve"> 2.591 КМ</w:t>
      </w:r>
    </w:p>
    <w:p w:rsidR="007D2641" w:rsidRPr="00CF29E6" w:rsidRDefault="007D2641" w:rsidP="00CF29E6">
      <w:pPr>
        <w:jc w:val="both"/>
        <w:rPr>
          <w:lang w:val="sr-Cyrl-BA"/>
        </w:rPr>
      </w:pPr>
      <w:r w:rsidRPr="00CF29E6">
        <w:rPr>
          <w:lang w:val="sr-Cyrl-BA"/>
        </w:rPr>
        <w:t>-</w:t>
      </w:r>
      <w:r w:rsidR="00C31AC6">
        <w:rPr>
          <w:lang w:val="sr-Cyrl-BA"/>
        </w:rPr>
        <w:t xml:space="preserve"> </w:t>
      </w:r>
      <w:r w:rsidRPr="00CF29E6">
        <w:rPr>
          <w:lang w:val="sr-Cyrl-BA"/>
        </w:rPr>
        <w:t>Конзум д.о.о. Сарајево</w:t>
      </w:r>
      <w:r w:rsidRPr="00CF29E6">
        <w:rPr>
          <w:lang w:val="sr-Cyrl-BA"/>
        </w:rPr>
        <w:tab/>
      </w:r>
      <w:r w:rsidRPr="00CF29E6">
        <w:rPr>
          <w:lang w:val="sr-Cyrl-BA"/>
        </w:rPr>
        <w:tab/>
      </w:r>
      <w:r w:rsidRPr="00CF29E6">
        <w:rPr>
          <w:lang w:val="sr-Cyrl-BA"/>
        </w:rPr>
        <w:tab/>
      </w:r>
      <w:r w:rsidRPr="00CF29E6">
        <w:rPr>
          <w:lang w:val="sr-Cyrl-BA"/>
        </w:rPr>
        <w:tab/>
        <w:t xml:space="preserve">       1.692 КМ</w:t>
      </w:r>
    </w:p>
    <w:p w:rsidR="007D2641" w:rsidRPr="00CF29E6" w:rsidRDefault="007D2641" w:rsidP="00CF29E6">
      <w:pPr>
        <w:jc w:val="both"/>
        <w:rPr>
          <w:lang w:val="sr-Cyrl-BA"/>
        </w:rPr>
      </w:pPr>
      <w:r w:rsidRPr="00CF29E6">
        <w:rPr>
          <w:lang w:val="sr-Cyrl-BA"/>
        </w:rPr>
        <w:t>-</w:t>
      </w:r>
      <w:r w:rsidR="00C31AC6">
        <w:rPr>
          <w:lang w:val="sr-Cyrl-BA"/>
        </w:rPr>
        <w:t xml:space="preserve"> </w:t>
      </w:r>
      <w:r w:rsidRPr="00CF29E6">
        <w:rPr>
          <w:lang w:val="sr-Cyrl-BA"/>
        </w:rPr>
        <w:t>Партнер МКФ</w:t>
      </w:r>
      <w:r w:rsidRPr="00CF29E6">
        <w:rPr>
          <w:lang w:val="sr-Cyrl-BA"/>
        </w:rPr>
        <w:tab/>
      </w:r>
      <w:r w:rsidRPr="00CF29E6">
        <w:rPr>
          <w:lang w:val="sr-Cyrl-BA"/>
        </w:rPr>
        <w:tab/>
      </w:r>
      <w:r w:rsidRPr="00CF29E6">
        <w:rPr>
          <w:lang w:val="sr-Cyrl-BA"/>
        </w:rPr>
        <w:tab/>
      </w:r>
      <w:r w:rsidRPr="00CF29E6">
        <w:rPr>
          <w:lang w:val="sr-Cyrl-BA"/>
        </w:rPr>
        <w:tab/>
      </w:r>
      <w:r w:rsidRPr="00CF29E6">
        <w:rPr>
          <w:lang w:val="sr-Cyrl-BA"/>
        </w:rPr>
        <w:tab/>
        <w:t xml:space="preserve">       1.440 КМ</w:t>
      </w:r>
    </w:p>
    <w:p w:rsidR="007D2641" w:rsidRPr="00CF29E6" w:rsidRDefault="007D2641" w:rsidP="00CF29E6">
      <w:pPr>
        <w:jc w:val="both"/>
        <w:rPr>
          <w:lang w:val="sr-Cyrl-BA"/>
        </w:rPr>
      </w:pPr>
      <w:r w:rsidRPr="00CF29E6">
        <w:rPr>
          <w:lang w:val="sr-Cyrl-BA"/>
        </w:rPr>
        <w:t>-</w:t>
      </w:r>
      <w:r w:rsidR="00C31AC6">
        <w:rPr>
          <w:lang w:val="sr-Cyrl-BA"/>
        </w:rPr>
        <w:t xml:space="preserve"> </w:t>
      </w:r>
      <w:r w:rsidRPr="00CF29E6">
        <w:rPr>
          <w:lang w:val="sr-Cyrl-BA"/>
        </w:rPr>
        <w:t xml:space="preserve">Меџлис Јања               </w:t>
      </w:r>
      <w:r w:rsidRPr="00CF29E6">
        <w:rPr>
          <w:lang w:val="sr-Cyrl-BA"/>
        </w:rPr>
        <w:tab/>
      </w:r>
      <w:r w:rsidRPr="00CF29E6">
        <w:rPr>
          <w:lang w:val="sr-Cyrl-BA"/>
        </w:rPr>
        <w:tab/>
      </w:r>
      <w:r w:rsidRPr="00CF29E6">
        <w:rPr>
          <w:lang w:val="sr-Cyrl-BA"/>
        </w:rPr>
        <w:tab/>
      </w:r>
      <w:r w:rsidRPr="00CF29E6">
        <w:rPr>
          <w:lang w:val="sr-Cyrl-BA"/>
        </w:rPr>
        <w:tab/>
        <w:t xml:space="preserve">       1.427 КМ</w:t>
      </w:r>
    </w:p>
    <w:p w:rsidR="007D2641" w:rsidRPr="00CF29E6" w:rsidRDefault="007D2641" w:rsidP="00CF29E6">
      <w:pPr>
        <w:jc w:val="both"/>
        <w:rPr>
          <w:lang w:val="sr-Cyrl-BA"/>
        </w:rPr>
      </w:pPr>
      <w:r w:rsidRPr="00CF29E6">
        <w:rPr>
          <w:lang w:val="sr-Cyrl-BA"/>
        </w:rPr>
        <w:t>-</w:t>
      </w:r>
      <w:r w:rsidR="00C31AC6">
        <w:rPr>
          <w:lang w:val="sr-Cyrl-BA"/>
        </w:rPr>
        <w:t xml:space="preserve"> </w:t>
      </w:r>
      <w:r w:rsidRPr="00CF29E6">
        <w:rPr>
          <w:lang w:val="sr-Cyrl-BA"/>
        </w:rPr>
        <w:t xml:space="preserve">Техничка школа Бијељина                   </w:t>
      </w:r>
      <w:r w:rsidRPr="00CF29E6">
        <w:rPr>
          <w:lang w:val="sr-Cyrl-BA"/>
        </w:rPr>
        <w:tab/>
      </w:r>
      <w:r w:rsidRPr="00CF29E6">
        <w:rPr>
          <w:lang w:val="sr-Cyrl-BA"/>
        </w:rPr>
        <w:tab/>
        <w:t xml:space="preserve">       1.287 КМ</w:t>
      </w:r>
    </w:p>
    <w:p w:rsidR="007D2641" w:rsidRPr="00CF29E6" w:rsidRDefault="007D2641" w:rsidP="00CF29E6">
      <w:pPr>
        <w:jc w:val="both"/>
        <w:rPr>
          <w:lang w:val="sr-Cyrl-BA"/>
        </w:rPr>
      </w:pPr>
      <w:r w:rsidRPr="00CF29E6">
        <w:rPr>
          <w:lang w:val="sr-Cyrl-BA"/>
        </w:rPr>
        <w:t>-</w:t>
      </w:r>
      <w:r w:rsidR="00C31AC6">
        <w:rPr>
          <w:lang w:val="sr-Cyrl-BA"/>
        </w:rPr>
        <w:t xml:space="preserve"> </w:t>
      </w:r>
      <w:r w:rsidRPr="00CF29E6">
        <w:rPr>
          <w:lang w:val="sr-Cyrl-BA"/>
        </w:rPr>
        <w:t>Економска школа Бијељина</w:t>
      </w:r>
      <w:r w:rsidRPr="00CF29E6">
        <w:rPr>
          <w:lang w:val="sr-Cyrl-BA"/>
        </w:rPr>
        <w:tab/>
      </w:r>
      <w:r w:rsidRPr="00CF29E6">
        <w:rPr>
          <w:lang w:val="sr-Cyrl-BA"/>
        </w:rPr>
        <w:tab/>
      </w:r>
      <w:r w:rsidRPr="00CF29E6">
        <w:rPr>
          <w:lang w:val="sr-Cyrl-BA"/>
        </w:rPr>
        <w:tab/>
        <w:t xml:space="preserve">       1.287 КМ</w:t>
      </w:r>
    </w:p>
    <w:p w:rsidR="007D2641" w:rsidRPr="00CF29E6" w:rsidRDefault="007D2641" w:rsidP="00CF29E6">
      <w:pPr>
        <w:jc w:val="both"/>
        <w:rPr>
          <w:lang w:val="sr-Cyrl-BA"/>
        </w:rPr>
      </w:pPr>
      <w:r w:rsidRPr="00CF29E6">
        <w:rPr>
          <w:lang w:val="sr-Cyrl-BA"/>
        </w:rPr>
        <w:t>-</w:t>
      </w:r>
      <w:r w:rsidR="00C31AC6">
        <w:rPr>
          <w:lang w:val="sr-Cyrl-BA"/>
        </w:rPr>
        <w:t xml:space="preserve"> </w:t>
      </w:r>
      <w:r w:rsidRPr="00CF29E6">
        <w:rPr>
          <w:lang w:val="sr-Latn-BA"/>
        </w:rPr>
        <w:t xml:space="preserve">Shop &amp; go doo </w:t>
      </w:r>
      <w:r w:rsidRPr="00CF29E6">
        <w:rPr>
          <w:lang w:val="sr-Cyrl-BA"/>
        </w:rPr>
        <w:t>Бијељина</w:t>
      </w:r>
      <w:r w:rsidRPr="00CF29E6">
        <w:rPr>
          <w:lang w:val="sr-Cyrl-BA"/>
        </w:rPr>
        <w:tab/>
      </w:r>
      <w:r w:rsidRPr="00CF29E6">
        <w:rPr>
          <w:lang w:val="sr-Cyrl-BA"/>
        </w:rPr>
        <w:tab/>
      </w:r>
      <w:r w:rsidRPr="00CF29E6">
        <w:rPr>
          <w:lang w:val="sr-Cyrl-BA"/>
        </w:rPr>
        <w:tab/>
      </w:r>
      <w:r w:rsidRPr="00CF29E6">
        <w:rPr>
          <w:lang w:val="sr-Cyrl-BA"/>
        </w:rPr>
        <w:tab/>
        <w:t xml:space="preserve">       1.240 КМ</w:t>
      </w:r>
    </w:p>
    <w:p w:rsidR="007D2641" w:rsidRPr="00CF29E6" w:rsidRDefault="007D2641" w:rsidP="00CF29E6">
      <w:pPr>
        <w:jc w:val="both"/>
        <w:rPr>
          <w:lang w:val="sr-Cyrl-BA"/>
        </w:rPr>
      </w:pPr>
      <w:r w:rsidRPr="00CF29E6">
        <w:rPr>
          <w:lang w:val="sr-Cyrl-BA"/>
        </w:rPr>
        <w:t>-</w:t>
      </w:r>
      <w:r w:rsidR="00C31AC6">
        <w:rPr>
          <w:lang w:val="sr-Cyrl-BA"/>
        </w:rPr>
        <w:t xml:space="preserve"> </w:t>
      </w:r>
      <w:r w:rsidRPr="00CF29E6">
        <w:rPr>
          <w:lang w:val="sr-Cyrl-BA"/>
        </w:rPr>
        <w:t xml:space="preserve">Фонд здравственог осигурања РС    </w:t>
      </w:r>
      <w:r w:rsidRPr="00CF29E6">
        <w:rPr>
          <w:lang w:val="sr-Cyrl-BA"/>
        </w:rPr>
        <w:tab/>
      </w:r>
      <w:r w:rsidRPr="00CF29E6">
        <w:rPr>
          <w:lang w:val="sr-Cyrl-BA"/>
        </w:rPr>
        <w:tab/>
        <w:t xml:space="preserve">       1.111 КМ </w:t>
      </w:r>
    </w:p>
    <w:p w:rsidR="007D2641" w:rsidRPr="00CF29E6" w:rsidRDefault="007D2641" w:rsidP="00CF29E6">
      <w:pPr>
        <w:jc w:val="both"/>
        <w:rPr>
          <w:lang w:val="sr-Cyrl-CS"/>
        </w:rPr>
      </w:pPr>
      <w:r w:rsidRPr="00CF29E6">
        <w:rPr>
          <w:lang w:val="sr-Cyrl-CS"/>
        </w:rPr>
        <w:t>-</w:t>
      </w:r>
      <w:r w:rsidR="00C31AC6">
        <w:rPr>
          <w:lang w:val="sr-Cyrl-CS"/>
        </w:rPr>
        <w:t xml:space="preserve"> </w:t>
      </w:r>
      <w:r w:rsidRPr="00CF29E6">
        <w:rPr>
          <w:u w:val="single"/>
          <w:lang w:val="sr-Cyrl-CS"/>
        </w:rPr>
        <w:t>Остали                                                                             5.419 КМ</w:t>
      </w:r>
    </w:p>
    <w:p w:rsidR="007D2641" w:rsidRPr="00CC4B24" w:rsidRDefault="007D2641" w:rsidP="007D2641">
      <w:pPr>
        <w:jc w:val="both"/>
        <w:rPr>
          <w:b/>
          <w:lang w:val="sr-Cyrl-CS"/>
        </w:rPr>
      </w:pPr>
      <w:r w:rsidRPr="00CC4B24">
        <w:rPr>
          <w:lang w:val="sr-Cyrl-CS"/>
        </w:rPr>
        <w:t xml:space="preserve">                                      У к у п н </w:t>
      </w:r>
      <w:r w:rsidRPr="00CC4B24">
        <w:rPr>
          <w:b/>
          <w:lang w:val="sr-Cyrl-CS"/>
        </w:rPr>
        <w:t>о                               406.407 КМ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Default="007D2641" w:rsidP="007D2641">
      <w:pPr>
        <w:jc w:val="both"/>
        <w:rPr>
          <w:lang w:val="sr-Cyrl-CS"/>
        </w:rPr>
      </w:pPr>
      <w:r w:rsidRPr="00CC4B24">
        <w:rPr>
          <w:lang w:val="sr-Cyrl-CS"/>
        </w:rPr>
        <w:t>Потраживања од ЈКП „Еко-ком“ Лопаре у износу од 5.136,30 КМ су пријављена у стечај, а налазе се на конту 209100 Исправка вриједности купаца</w:t>
      </w:r>
      <w:r>
        <w:rPr>
          <w:lang w:val="sr-Cyrl-CS"/>
        </w:rPr>
        <w:t>.</w:t>
      </w:r>
    </w:p>
    <w:p w:rsidR="007D2641" w:rsidRDefault="007D2641" w:rsidP="007D2641">
      <w:pPr>
        <w:jc w:val="both"/>
        <w:rPr>
          <w:lang w:val="sr-Cyrl-CS"/>
        </w:rPr>
      </w:pPr>
    </w:p>
    <w:p w:rsidR="007D2641" w:rsidRPr="00DC3B73" w:rsidRDefault="007D2641" w:rsidP="007D2641">
      <w:pPr>
        <w:jc w:val="both"/>
        <w:rPr>
          <w:lang w:val="sr-Cyrl-CS"/>
        </w:rPr>
      </w:pPr>
      <w:r>
        <w:rPr>
          <w:lang w:val="sr-Cyrl-CS"/>
        </w:rPr>
        <w:t xml:space="preserve">Киосци Алекса имају дуг у износу од 8.488,55 КМ, а најстарији </w:t>
      </w:r>
      <w:r w:rsidR="00E05DA0">
        <w:rPr>
          <w:lang w:val="sr-Cyrl-CS"/>
        </w:rPr>
        <w:t>р</w:t>
      </w:r>
      <w:r>
        <w:rPr>
          <w:lang w:val="sr-Cyrl-CS"/>
        </w:rPr>
        <w:t xml:space="preserve">ачун је од 10.01.2017.године. Власник наведену фирму је продао фирми </w:t>
      </w:r>
      <w:r w:rsidRPr="00CC4B24">
        <w:rPr>
          <w:lang w:val="sr-Latn-BA"/>
        </w:rPr>
        <w:t xml:space="preserve">Shop &amp; </w:t>
      </w:r>
      <w:r w:rsidR="001C09D4">
        <w:rPr>
          <w:lang w:val="sr-Latn-BA"/>
        </w:rPr>
        <w:t>G</w:t>
      </w:r>
      <w:r w:rsidRPr="00CC4B24">
        <w:rPr>
          <w:lang w:val="sr-Latn-BA"/>
        </w:rPr>
        <w:t xml:space="preserve">o </w:t>
      </w:r>
      <w:r w:rsidR="001C09D4">
        <w:rPr>
          <w:lang w:val="sr-Cyrl-BA"/>
        </w:rPr>
        <w:t>д.о.о.</w:t>
      </w:r>
      <w:r w:rsidRPr="00CC4B24">
        <w:rPr>
          <w:lang w:val="sr-Latn-BA"/>
        </w:rPr>
        <w:t xml:space="preserve"> </w:t>
      </w:r>
      <w:r w:rsidRPr="00CC4B24">
        <w:rPr>
          <w:lang w:val="sr-Cyrl-BA"/>
        </w:rPr>
        <w:t>Бијељина</w:t>
      </w:r>
      <w:r>
        <w:rPr>
          <w:lang w:val="sr-Cyrl-BA"/>
        </w:rPr>
        <w:t xml:space="preserve"> која такође има дуг у износу од 1.240,00 КМ (њен најстарији </w:t>
      </w:r>
      <w:r w:rsidR="00E05DA0">
        <w:rPr>
          <w:lang w:val="sr-Cyrl-BA"/>
        </w:rPr>
        <w:t>р</w:t>
      </w:r>
      <w:r>
        <w:rPr>
          <w:lang w:val="sr-Cyrl-BA"/>
        </w:rPr>
        <w:t>ачун је од 22.10.2018.). Међутим, пошто су обје фирме спорне у вези плаћања, предлаже се тужба за наплату потраживања.</w:t>
      </w:r>
    </w:p>
    <w:p w:rsidR="007D2641" w:rsidRPr="001C09D4" w:rsidRDefault="007D2641" w:rsidP="007D2641">
      <w:pPr>
        <w:jc w:val="both"/>
        <w:rPr>
          <w:color w:val="FF0000"/>
          <w:lang w:val="sr-Latn-BA"/>
        </w:rPr>
      </w:pPr>
      <w:r w:rsidRPr="007071B4">
        <w:rPr>
          <w:color w:val="FF0000"/>
          <w:lang w:val="sr-Cyrl-CS"/>
        </w:rPr>
        <w:t xml:space="preserve"> </w:t>
      </w:r>
    </w:p>
    <w:p w:rsidR="007D2641" w:rsidRPr="0016379C" w:rsidRDefault="007D2641" w:rsidP="007D2641">
      <w:pPr>
        <w:jc w:val="both"/>
        <w:rPr>
          <w:lang w:val="sr-Cyrl-CS"/>
        </w:rPr>
      </w:pPr>
      <w:r>
        <w:rPr>
          <w:lang w:val="sr-Cyrl-CS"/>
        </w:rPr>
        <w:t xml:space="preserve">Рочност </w:t>
      </w:r>
      <w:r>
        <w:rPr>
          <w:lang w:val="sr-Cyrl-BA"/>
        </w:rPr>
        <w:t>купаца</w:t>
      </w:r>
      <w:r w:rsidRPr="0016379C">
        <w:rPr>
          <w:lang w:val="sr-Cyrl-CS"/>
        </w:rPr>
        <w:t xml:space="preserve"> је приказана у Прилогу: Прегл</w:t>
      </w:r>
      <w:r>
        <w:rPr>
          <w:lang w:val="sr-Cyrl-CS"/>
        </w:rPr>
        <w:t>ед обавеза/потраживања конто 201</w:t>
      </w:r>
      <w:r w:rsidRPr="0016379C">
        <w:rPr>
          <w:lang w:val="sr-Cyrl-CS"/>
        </w:rPr>
        <w:t xml:space="preserve">000 . 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225625" w:rsidRDefault="007D2641" w:rsidP="007D2641">
      <w:pPr>
        <w:jc w:val="both"/>
        <w:rPr>
          <w:u w:val="single"/>
          <w:lang w:val="sr-Cyrl-CS"/>
        </w:rPr>
      </w:pPr>
      <w:r w:rsidRPr="00225625">
        <w:rPr>
          <w:u w:val="single"/>
          <w:lang w:val="sr-Cyrl-CS"/>
        </w:rPr>
        <w:t>Напомена 23.</w:t>
      </w:r>
    </w:p>
    <w:p w:rsidR="007D2641" w:rsidRPr="008C3F76" w:rsidRDefault="007D2641" w:rsidP="007D2641">
      <w:pPr>
        <w:jc w:val="both"/>
        <w:rPr>
          <w:lang w:val="sr-Cyrl-CS"/>
        </w:rPr>
      </w:pPr>
      <w:r w:rsidRPr="008C3F76">
        <w:rPr>
          <w:lang w:val="sr-Cyrl-CS"/>
        </w:rPr>
        <w:t>Друга краткорочна потраживања (АОП 046) износе 14.766 КМ, а однос</w:t>
      </w:r>
      <w:r w:rsidR="006D3EA1">
        <w:rPr>
          <w:lang w:val="sr-Cyrl-CS"/>
        </w:rPr>
        <w:t xml:space="preserve">е се на потраживања за салу за </w:t>
      </w:r>
      <w:r w:rsidRPr="008C3F76">
        <w:rPr>
          <w:lang w:val="sr-Cyrl-CS"/>
        </w:rPr>
        <w:t>децембар, 2018.годин</w:t>
      </w:r>
      <w:r w:rsidR="006D3EA1">
        <w:rPr>
          <w:lang w:val="sr-Cyrl-CS"/>
        </w:rPr>
        <w:t>е</w:t>
      </w:r>
      <w:r w:rsidRPr="008C3F76">
        <w:rPr>
          <w:lang w:val="sr-Cyrl-CS"/>
        </w:rPr>
        <w:t xml:space="preserve"> у износу од 14.166 КМ, чија наплата није спорна .У овај збир улазе и  аконтације за текуће трошкове 600 КМ. 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8C3F76" w:rsidRDefault="007D2641" w:rsidP="007D2641">
      <w:pPr>
        <w:jc w:val="both"/>
        <w:rPr>
          <w:u w:val="single"/>
          <w:lang w:val="sr-Cyrl-CS"/>
        </w:rPr>
      </w:pPr>
      <w:r w:rsidRPr="008C3F76">
        <w:rPr>
          <w:u w:val="single"/>
          <w:lang w:val="sr-Cyrl-CS"/>
        </w:rPr>
        <w:t>Напомена 24.</w:t>
      </w:r>
    </w:p>
    <w:p w:rsidR="007D2641" w:rsidRPr="008C3F76" w:rsidRDefault="007D2641" w:rsidP="007D2641">
      <w:pPr>
        <w:jc w:val="both"/>
        <w:rPr>
          <w:lang w:val="sr-Cyrl-CS"/>
        </w:rPr>
      </w:pPr>
      <w:r w:rsidRPr="008C3F76">
        <w:rPr>
          <w:lang w:val="sr-Cyrl-CS"/>
        </w:rPr>
        <w:t xml:space="preserve">Краткорочни кредити повезаним правним лицима (АОП 048) износи </w:t>
      </w:r>
      <w:r>
        <w:rPr>
          <w:lang w:val="sr-Cyrl-CS"/>
        </w:rPr>
        <w:t xml:space="preserve">500 КМ. Односи се на позајмицу </w:t>
      </w:r>
      <w:r>
        <w:rPr>
          <w:lang w:val="sr-Cyrl-BA"/>
        </w:rPr>
        <w:t>С</w:t>
      </w:r>
      <w:r w:rsidRPr="008C3F76">
        <w:rPr>
          <w:lang w:val="sr-Cyrl-CS"/>
        </w:rPr>
        <w:t>индика</w:t>
      </w:r>
      <w:r>
        <w:rPr>
          <w:lang w:val="sr-Cyrl-CS"/>
        </w:rPr>
        <w:t>лној организацији ЈП</w:t>
      </w:r>
      <w:r w:rsidR="001C09D4">
        <w:rPr>
          <w:lang w:val="sr-Cyrl-CS"/>
        </w:rPr>
        <w:t xml:space="preserve"> </w:t>
      </w:r>
      <w:r>
        <w:rPr>
          <w:lang w:val="sr-Cyrl-CS"/>
        </w:rPr>
        <w:t>“Дирекциј</w:t>
      </w:r>
      <w:r w:rsidR="001C09D4">
        <w:rPr>
          <w:lang w:val="sr-Cyrl-CS"/>
        </w:rPr>
        <w:t>а</w:t>
      </w:r>
      <w:r>
        <w:rPr>
          <w:lang w:val="sr-Cyrl-CS"/>
        </w:rPr>
        <w:t xml:space="preserve"> за изградњу и развој града“</w:t>
      </w:r>
      <w:r w:rsidR="001C09D4">
        <w:rPr>
          <w:lang w:val="sr-Cyrl-CS"/>
        </w:rPr>
        <w:t xml:space="preserve"> </w:t>
      </w:r>
      <w:r>
        <w:rPr>
          <w:lang w:val="sr-Cyrl-CS"/>
        </w:rPr>
        <w:t>д.о.о. Бијељина.</w:t>
      </w:r>
    </w:p>
    <w:p w:rsidR="007D2641" w:rsidRPr="00CF1E71" w:rsidRDefault="007D2641" w:rsidP="007D2641">
      <w:pPr>
        <w:jc w:val="both"/>
        <w:rPr>
          <w:color w:val="FF0000"/>
          <w:u w:val="single"/>
          <w:lang w:val="sr-Cyrl-CS"/>
        </w:rPr>
      </w:pPr>
    </w:p>
    <w:p w:rsidR="007D2641" w:rsidRPr="008C3F76" w:rsidRDefault="007D2641" w:rsidP="007D2641">
      <w:pPr>
        <w:jc w:val="both"/>
        <w:rPr>
          <w:u w:val="single"/>
          <w:lang w:val="sr-Cyrl-CS"/>
        </w:rPr>
      </w:pPr>
      <w:r w:rsidRPr="008C3F76">
        <w:rPr>
          <w:u w:val="single"/>
          <w:lang w:val="sr-Cyrl-CS"/>
        </w:rPr>
        <w:t xml:space="preserve">Напомена 25. </w:t>
      </w:r>
    </w:p>
    <w:p w:rsidR="007D2641" w:rsidRPr="005D0E43" w:rsidRDefault="007D2641" w:rsidP="007D2641">
      <w:pPr>
        <w:jc w:val="both"/>
        <w:rPr>
          <w:lang w:val="sr-Cyrl-CS"/>
        </w:rPr>
      </w:pPr>
      <w:r w:rsidRPr="005D0E43">
        <w:rPr>
          <w:lang w:val="sr-Cyrl-CS"/>
        </w:rPr>
        <w:t>Готовина (АОП 058) износи 18.063 КМ, а односи се на средства на трансакционим рачунима.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5D0E43" w:rsidRDefault="007D2641" w:rsidP="007D2641">
      <w:pPr>
        <w:jc w:val="both"/>
        <w:rPr>
          <w:lang w:val="sr-Cyrl-CS"/>
        </w:rPr>
      </w:pPr>
      <w:r w:rsidRPr="005D0E43">
        <w:rPr>
          <w:u w:val="single"/>
          <w:lang w:val="sr-Cyrl-CS"/>
        </w:rPr>
        <w:t>Напомена 26</w:t>
      </w:r>
      <w:r w:rsidRPr="005D0E43">
        <w:rPr>
          <w:lang w:val="sr-Cyrl-CS"/>
        </w:rPr>
        <w:t>.</w:t>
      </w:r>
    </w:p>
    <w:p w:rsidR="007D2641" w:rsidRPr="005D0E43" w:rsidRDefault="007D2641" w:rsidP="007D2641">
      <w:pPr>
        <w:jc w:val="both"/>
        <w:rPr>
          <w:lang w:val="sr-Cyrl-BA"/>
        </w:rPr>
      </w:pPr>
      <w:r w:rsidRPr="005D0E43">
        <w:rPr>
          <w:lang w:val="sr-Cyrl-CS"/>
        </w:rPr>
        <w:t>Губитак изнад висине капитала (АОП 063) износи 215.270 КМ и представља збир губитака из претходног периода умањен за нето добит по билансу 2018.г.</w:t>
      </w:r>
    </w:p>
    <w:p w:rsidR="007D2641" w:rsidRDefault="007D2641" w:rsidP="007D2641">
      <w:pPr>
        <w:jc w:val="both"/>
        <w:rPr>
          <w:color w:val="FF0000"/>
          <w:u w:val="single"/>
          <w:lang w:val="sr-Cyrl-CS"/>
        </w:rPr>
      </w:pPr>
    </w:p>
    <w:p w:rsidR="002532DE" w:rsidRDefault="002532DE" w:rsidP="007D2641">
      <w:pPr>
        <w:jc w:val="both"/>
        <w:rPr>
          <w:color w:val="FF0000"/>
          <w:u w:val="single"/>
          <w:lang w:val="sr-Cyrl-CS"/>
        </w:rPr>
      </w:pPr>
    </w:p>
    <w:p w:rsidR="002532DE" w:rsidRDefault="002532DE" w:rsidP="007D2641">
      <w:pPr>
        <w:jc w:val="both"/>
        <w:rPr>
          <w:color w:val="FF0000"/>
          <w:u w:val="single"/>
          <w:lang w:val="sr-Cyrl-CS"/>
        </w:rPr>
      </w:pPr>
    </w:p>
    <w:p w:rsidR="002532DE" w:rsidRPr="00CF1E71" w:rsidRDefault="002532DE" w:rsidP="007D2641">
      <w:pPr>
        <w:jc w:val="both"/>
        <w:rPr>
          <w:color w:val="FF0000"/>
          <w:u w:val="single"/>
          <w:lang w:val="sr-Cyrl-CS"/>
        </w:rPr>
      </w:pPr>
    </w:p>
    <w:p w:rsidR="007D2641" w:rsidRPr="00A546FD" w:rsidRDefault="007D2641" w:rsidP="007D2641">
      <w:pPr>
        <w:jc w:val="both"/>
        <w:rPr>
          <w:u w:val="single"/>
          <w:lang w:val="sr-Cyrl-CS"/>
        </w:rPr>
      </w:pPr>
      <w:r w:rsidRPr="00A546FD">
        <w:rPr>
          <w:u w:val="single"/>
          <w:lang w:val="sr-Cyrl-CS"/>
        </w:rPr>
        <w:lastRenderedPageBreak/>
        <w:t>Напомена 27.</w:t>
      </w:r>
    </w:p>
    <w:p w:rsidR="007D2641" w:rsidRPr="007D2641" w:rsidRDefault="007D2641" w:rsidP="007D2641">
      <w:pPr>
        <w:jc w:val="both"/>
        <w:rPr>
          <w:lang w:val="sr-Cyrl-CS"/>
        </w:rPr>
      </w:pPr>
      <w:r w:rsidRPr="00A546FD">
        <w:rPr>
          <w:lang w:val="sr-Cyrl-CS"/>
        </w:rPr>
        <w:t>Пословна актива (АОП 064) износи 697</w:t>
      </w:r>
      <w:r w:rsidRPr="00A546FD">
        <w:rPr>
          <w:lang w:val="sr-Latn-CS"/>
        </w:rPr>
        <w:t>.</w:t>
      </w:r>
      <w:r w:rsidRPr="00A546FD">
        <w:rPr>
          <w:lang w:val="sr-Cyrl-BA"/>
        </w:rPr>
        <w:t>885</w:t>
      </w:r>
      <w:r w:rsidRPr="00A546FD">
        <w:rPr>
          <w:lang w:val="sr-Cyrl-CS"/>
        </w:rPr>
        <w:t xml:space="preserve"> КМ</w:t>
      </w:r>
      <w:r w:rsidRPr="00A546FD">
        <w:rPr>
          <w:lang w:val="sr-Latn-CS"/>
        </w:rPr>
        <w:t>,</w:t>
      </w:r>
      <w:r w:rsidRPr="00A546FD">
        <w:rPr>
          <w:lang w:val="sr-Cyrl-CS"/>
        </w:rPr>
        <w:t xml:space="preserve"> што је једнако збиру сталне и текуће имовине, али и непокривеног губитка поменутог у претходној напомени.</w:t>
      </w:r>
    </w:p>
    <w:p w:rsidR="00434740" w:rsidRDefault="00434740" w:rsidP="007D2641">
      <w:pPr>
        <w:jc w:val="both"/>
        <w:rPr>
          <w:u w:val="single"/>
          <w:lang w:val="sr-Cyrl-CS"/>
        </w:rPr>
      </w:pPr>
    </w:p>
    <w:p w:rsidR="007D2641" w:rsidRPr="00A546FD" w:rsidRDefault="007D2641" w:rsidP="007D2641">
      <w:pPr>
        <w:jc w:val="both"/>
        <w:rPr>
          <w:u w:val="single"/>
          <w:lang w:val="sr-Cyrl-CS"/>
        </w:rPr>
      </w:pPr>
      <w:r w:rsidRPr="00A546FD">
        <w:rPr>
          <w:u w:val="single"/>
          <w:lang w:val="sr-Cyrl-CS"/>
        </w:rPr>
        <w:t>Напомена 28.</w:t>
      </w:r>
    </w:p>
    <w:p w:rsidR="007D2641" w:rsidRPr="00B842C8" w:rsidRDefault="007D2641" w:rsidP="007D2641">
      <w:pPr>
        <w:jc w:val="both"/>
        <w:rPr>
          <w:lang w:val="sr-Cyrl-CS"/>
        </w:rPr>
      </w:pPr>
      <w:r w:rsidRPr="00B842C8">
        <w:rPr>
          <w:lang w:val="sr-Cyrl-CS"/>
        </w:rPr>
        <w:t>Ванбилансна актива (АОП 065) износи 7.223.275 КМ и односи се на имовину Града Бијељина. Увећана је за износ камата за лизинг  у износу од 4.065 КМ.</w:t>
      </w:r>
    </w:p>
    <w:p w:rsidR="007D2641" w:rsidRPr="00CF1E71" w:rsidRDefault="007D2641" w:rsidP="007D2641">
      <w:pPr>
        <w:jc w:val="both"/>
        <w:rPr>
          <w:color w:val="FF0000"/>
          <w:u w:val="single"/>
          <w:lang w:val="sr-Cyrl-BA"/>
        </w:rPr>
      </w:pPr>
    </w:p>
    <w:p w:rsidR="007D2641" w:rsidRPr="00B842C8" w:rsidRDefault="007D2641" w:rsidP="007D2641">
      <w:pPr>
        <w:jc w:val="both"/>
        <w:rPr>
          <w:u w:val="single"/>
          <w:lang w:val="sr-Cyrl-CS"/>
        </w:rPr>
      </w:pPr>
      <w:r w:rsidRPr="00B842C8">
        <w:rPr>
          <w:u w:val="single"/>
          <w:lang w:val="sr-Cyrl-CS"/>
        </w:rPr>
        <w:t>Напомена 29.</w:t>
      </w:r>
    </w:p>
    <w:p w:rsidR="007D2641" w:rsidRPr="00B842C8" w:rsidRDefault="007D2641" w:rsidP="007D2641">
      <w:pPr>
        <w:jc w:val="both"/>
        <w:rPr>
          <w:lang w:val="sr-Cyrl-CS"/>
        </w:rPr>
      </w:pPr>
      <w:r w:rsidRPr="00B842C8">
        <w:rPr>
          <w:lang w:val="sr-Cyrl-CS"/>
        </w:rPr>
        <w:t xml:space="preserve">Државни капитал (АОП 107) износи 2.000 и анулиран је губитком из 2012.г. (АОП 124) </w:t>
      </w:r>
    </w:p>
    <w:p w:rsidR="007D2641" w:rsidRPr="00B842C8" w:rsidRDefault="007D2641" w:rsidP="007D2641">
      <w:pPr>
        <w:jc w:val="both"/>
        <w:rPr>
          <w:lang w:val="sr-Cyrl-CS"/>
        </w:rPr>
      </w:pPr>
    </w:p>
    <w:p w:rsidR="007D2641" w:rsidRPr="00B842C8" w:rsidRDefault="007D2641" w:rsidP="007D2641">
      <w:pPr>
        <w:jc w:val="both"/>
        <w:rPr>
          <w:u w:val="single"/>
          <w:lang w:val="sr-Cyrl-CS"/>
        </w:rPr>
      </w:pPr>
      <w:r w:rsidRPr="00B842C8">
        <w:rPr>
          <w:u w:val="single"/>
          <w:lang w:val="sr-Cyrl-CS"/>
        </w:rPr>
        <w:t>Напомена 30.</w:t>
      </w:r>
    </w:p>
    <w:p w:rsidR="007D2641" w:rsidRPr="00B842C8" w:rsidRDefault="007D2641" w:rsidP="007D2641">
      <w:pPr>
        <w:jc w:val="both"/>
        <w:rPr>
          <w:lang w:val="sr-Cyrl-CS"/>
        </w:rPr>
      </w:pPr>
      <w:r w:rsidRPr="00B842C8">
        <w:rPr>
          <w:lang w:val="sr-Cyrl-CS"/>
        </w:rPr>
        <w:t>Законске резерве (АОП 112) износиле су 200 КМ, али су, такође, анулиране губитком из 2012.г</w:t>
      </w:r>
      <w:r w:rsidR="006D3EA1">
        <w:rPr>
          <w:lang w:val="sr-Cyrl-CS"/>
        </w:rPr>
        <w:t>одине.</w:t>
      </w:r>
      <w:r w:rsidRPr="00B842C8">
        <w:rPr>
          <w:lang w:val="sr-Cyrl-CS"/>
        </w:rPr>
        <w:t xml:space="preserve"> 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B842C8" w:rsidRDefault="007D2641" w:rsidP="007D2641">
      <w:pPr>
        <w:jc w:val="both"/>
        <w:rPr>
          <w:u w:val="single"/>
          <w:lang w:val="sr-Cyrl-CS"/>
        </w:rPr>
      </w:pPr>
      <w:r w:rsidRPr="00B842C8">
        <w:rPr>
          <w:u w:val="single"/>
          <w:lang w:val="sr-Cyrl-CS"/>
        </w:rPr>
        <w:t>Напомена 31.</w:t>
      </w:r>
    </w:p>
    <w:p w:rsidR="007D2641" w:rsidRPr="00B842C8" w:rsidRDefault="007D2641" w:rsidP="007D2641">
      <w:pPr>
        <w:jc w:val="both"/>
        <w:rPr>
          <w:lang w:val="sr-Cyrl-CS"/>
        </w:rPr>
      </w:pPr>
      <w:r w:rsidRPr="00B842C8">
        <w:rPr>
          <w:lang w:val="sr-Cyrl-CS"/>
        </w:rPr>
        <w:t>Дугорочни кредити (АОП 140) износи</w:t>
      </w:r>
      <w:r w:rsidRPr="00B842C8">
        <w:rPr>
          <w:lang w:val="sr-Latn-CS"/>
        </w:rPr>
        <w:t xml:space="preserve"> </w:t>
      </w:r>
      <w:r w:rsidRPr="00B842C8">
        <w:rPr>
          <w:lang w:val="sr-Cyrl-BA"/>
        </w:rPr>
        <w:t>242.907</w:t>
      </w:r>
      <w:r w:rsidRPr="00B842C8">
        <w:rPr>
          <w:lang w:val="sr-Cyrl-CS"/>
        </w:rPr>
        <w:t xml:space="preserve"> КМ и односи се на кредит код Нове банке Бања Лука узет за инжињерске услуге наше фирме за уређење земљишта 6 локација власништва Града</w:t>
      </w:r>
      <w:r w:rsidR="00434740">
        <w:rPr>
          <w:lang w:val="sr-Cyrl-CS"/>
        </w:rPr>
        <w:t xml:space="preserve"> </w:t>
      </w:r>
      <w:r w:rsidRPr="00B842C8">
        <w:rPr>
          <w:lang w:val="sr-Cyrl-CS"/>
        </w:rPr>
        <w:t>Бијељина предвиђених за стамбено пословне објекте</w:t>
      </w:r>
      <w:r w:rsidRPr="00CF1E71">
        <w:rPr>
          <w:color w:val="FF0000"/>
          <w:lang w:val="sr-Cyrl-CS"/>
        </w:rPr>
        <w:t xml:space="preserve"> </w:t>
      </w:r>
      <w:r w:rsidRPr="00B842C8">
        <w:rPr>
          <w:lang w:val="sr-Cyrl-CS"/>
        </w:rPr>
        <w:t>као што су аутобуска и жељезничка станица, стамбено насеље „Кнез Иво од Семберије“ и друге.</w:t>
      </w:r>
    </w:p>
    <w:p w:rsidR="007D2641" w:rsidRPr="00B842C8" w:rsidRDefault="007D2641" w:rsidP="007D2641">
      <w:pPr>
        <w:jc w:val="both"/>
        <w:rPr>
          <w:lang w:val="sr-Cyrl-CS"/>
        </w:rPr>
      </w:pPr>
      <w:r w:rsidRPr="00B842C8">
        <w:rPr>
          <w:lang w:val="sr-Cyrl-CS"/>
        </w:rPr>
        <w:t>Гарант за овај кредит је буџет Града Бијељина.</w:t>
      </w:r>
      <w:r w:rsidR="00434740">
        <w:rPr>
          <w:lang w:val="sr-Cyrl-CS"/>
        </w:rPr>
        <w:t xml:space="preserve"> </w:t>
      </w:r>
      <w:r w:rsidRPr="00B842C8">
        <w:rPr>
          <w:lang w:val="sr-Cyrl-CS"/>
        </w:rPr>
        <w:t xml:space="preserve">Рок враћања </w:t>
      </w:r>
      <w:r w:rsidRPr="00B842C8">
        <w:rPr>
          <w:lang w:val="sr-Latn-BA"/>
        </w:rPr>
        <w:t xml:space="preserve">je </w:t>
      </w:r>
      <w:r w:rsidRPr="00B842C8">
        <w:rPr>
          <w:lang w:val="sr-Cyrl-BA"/>
        </w:rPr>
        <w:t>продужен Анексом 1 Уговора о дугорочном кредиту бр. 0173120008, а исти  је на снази од  11.03.2014.г.</w:t>
      </w:r>
      <w:r w:rsidR="00434740">
        <w:rPr>
          <w:lang w:val="sr-Cyrl-BA"/>
        </w:rPr>
        <w:t>(</w:t>
      </w:r>
      <w:r w:rsidRPr="00B842C8">
        <w:rPr>
          <w:lang w:val="sr-Cyrl-BA"/>
        </w:rPr>
        <w:t xml:space="preserve"> </w:t>
      </w:r>
      <w:r w:rsidR="006D3EA1">
        <w:rPr>
          <w:lang w:val="sr-Cyrl-BA"/>
        </w:rPr>
        <w:t>рок отплате</w:t>
      </w:r>
      <w:r w:rsidRPr="00B842C8">
        <w:rPr>
          <w:lang w:val="sr-Cyrl-BA"/>
        </w:rPr>
        <w:t xml:space="preserve"> 7 </w:t>
      </w:r>
      <w:r w:rsidRPr="00B842C8">
        <w:rPr>
          <w:lang w:val="sr-Cyrl-CS"/>
        </w:rPr>
        <w:t xml:space="preserve"> година</w:t>
      </w:r>
      <w:r w:rsidR="00434740">
        <w:rPr>
          <w:lang w:val="sr-Cyrl-CS"/>
        </w:rPr>
        <w:t>)</w:t>
      </w:r>
      <w:r w:rsidRPr="00B842C8">
        <w:rPr>
          <w:lang w:val="sr-Cyrl-CS"/>
        </w:rPr>
        <w:t xml:space="preserve"> 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Default="007D2641" w:rsidP="007D2641">
      <w:pPr>
        <w:jc w:val="both"/>
        <w:rPr>
          <w:u w:val="single"/>
          <w:lang w:val="sr-Cyrl-CS"/>
        </w:rPr>
      </w:pPr>
      <w:r w:rsidRPr="00B842C8">
        <w:rPr>
          <w:u w:val="single"/>
          <w:lang w:val="sr-Cyrl-CS"/>
        </w:rPr>
        <w:t>Напомена 32.</w:t>
      </w:r>
    </w:p>
    <w:p w:rsidR="007D2641" w:rsidRPr="000A0E52" w:rsidRDefault="007D2641" w:rsidP="007D2641">
      <w:pPr>
        <w:jc w:val="both"/>
        <w:rPr>
          <w:lang w:val="sr-Cyrl-BA"/>
        </w:rPr>
      </w:pPr>
      <w:r>
        <w:rPr>
          <w:lang w:val="sr-Cyrl-CS"/>
        </w:rPr>
        <w:t>Дугорочне обавезе по финансијском лизингу (АОП 141) износе 31.004 КМ и односе се на купљено ново ауто</w:t>
      </w:r>
      <w:r>
        <w:rPr>
          <w:lang w:val="sr-Latn-BA"/>
        </w:rPr>
        <w:t xml:space="preserve"> Škoda Octavia </w:t>
      </w:r>
      <w:r>
        <w:rPr>
          <w:lang w:val="sr-Cyrl-BA"/>
        </w:rPr>
        <w:t xml:space="preserve">у износу од 40.000 КМ на рок отплате 5 година. </w:t>
      </w:r>
    </w:p>
    <w:p w:rsidR="007D2641" w:rsidRDefault="007D2641" w:rsidP="007D2641">
      <w:pPr>
        <w:jc w:val="both"/>
        <w:rPr>
          <w:color w:val="FF0000"/>
          <w:u w:val="single"/>
          <w:lang w:val="sr-Cyrl-CS"/>
        </w:rPr>
      </w:pPr>
    </w:p>
    <w:p w:rsidR="007D2641" w:rsidRPr="004C5A11" w:rsidRDefault="007D2641" w:rsidP="007D2641">
      <w:pPr>
        <w:jc w:val="both"/>
        <w:rPr>
          <w:u w:val="single"/>
          <w:lang w:val="sr-Cyrl-CS"/>
        </w:rPr>
      </w:pPr>
      <w:r w:rsidRPr="004C5A11">
        <w:rPr>
          <w:u w:val="single"/>
          <w:lang w:val="sr-Cyrl-CS"/>
        </w:rPr>
        <w:t xml:space="preserve">Напомена 33. </w:t>
      </w:r>
    </w:p>
    <w:p w:rsidR="007D2641" w:rsidRPr="00CF1E71" w:rsidRDefault="007D2641" w:rsidP="007D2641">
      <w:pPr>
        <w:jc w:val="both"/>
        <w:rPr>
          <w:color w:val="FF0000"/>
          <w:u w:val="single"/>
          <w:lang w:val="sr-Cyrl-CS"/>
        </w:rPr>
      </w:pPr>
    </w:p>
    <w:p w:rsidR="007D2641" w:rsidRPr="00CE0587" w:rsidRDefault="007D2641" w:rsidP="007D2641">
      <w:pPr>
        <w:jc w:val="both"/>
        <w:rPr>
          <w:u w:val="single"/>
          <w:lang w:val="sr-Cyrl-CS"/>
        </w:rPr>
      </w:pPr>
      <w:r w:rsidRPr="00CE0587">
        <w:rPr>
          <w:u w:val="single"/>
          <w:lang w:val="sr-Cyrl-CS"/>
        </w:rPr>
        <w:t>Добављачи у земљи (АОП 153) износе 164.448  КМ  и односе се на следеће:</w:t>
      </w:r>
    </w:p>
    <w:p w:rsidR="007D2641" w:rsidRPr="00CE0587" w:rsidRDefault="007D2641" w:rsidP="007D2641">
      <w:pPr>
        <w:jc w:val="both"/>
        <w:rPr>
          <w:lang w:val="sr-Cyrl-CS"/>
        </w:rPr>
      </w:pPr>
    </w:p>
    <w:p w:rsidR="007D2641" w:rsidRPr="00CE0587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 xml:space="preserve">- 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 xml:space="preserve">„Патриот“ д.о.о. Бијељина           </w:t>
      </w:r>
      <w:r w:rsidRPr="00CE0587">
        <w:rPr>
          <w:lang w:val="sr-Cyrl-CS"/>
        </w:rPr>
        <w:tab/>
        <w:t xml:space="preserve">  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>122.085 КМ</w:t>
      </w:r>
    </w:p>
    <w:p w:rsidR="007D2641" w:rsidRPr="00CE0587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 xml:space="preserve">- 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>„Илић трговина</w:t>
      </w:r>
      <w:r w:rsidR="006D3EA1">
        <w:rPr>
          <w:lang w:val="sr-Cyrl-CS"/>
        </w:rPr>
        <w:t>“</w:t>
      </w:r>
      <w:r w:rsidRPr="00CE0587">
        <w:rPr>
          <w:lang w:val="sr-Cyrl-CS"/>
        </w:rPr>
        <w:t xml:space="preserve"> д</w:t>
      </w:r>
      <w:r w:rsidR="006D3EA1">
        <w:rPr>
          <w:lang w:val="sr-Cyrl-CS"/>
        </w:rPr>
        <w:t>.</w:t>
      </w:r>
      <w:r w:rsidRPr="00CE0587">
        <w:rPr>
          <w:lang w:val="sr-Cyrl-CS"/>
        </w:rPr>
        <w:t>о</w:t>
      </w:r>
      <w:r w:rsidR="006D3EA1">
        <w:rPr>
          <w:lang w:val="sr-Cyrl-CS"/>
        </w:rPr>
        <w:t>.</w:t>
      </w:r>
      <w:r w:rsidRPr="00CE0587">
        <w:rPr>
          <w:lang w:val="sr-Cyrl-CS"/>
        </w:rPr>
        <w:t>о Зворник</w:t>
      </w:r>
      <w:r w:rsidRPr="00CE0587">
        <w:rPr>
          <w:lang w:val="sr-Cyrl-CS"/>
        </w:rPr>
        <w:tab/>
        <w:t xml:space="preserve">    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 xml:space="preserve">  8.822 КМ</w:t>
      </w:r>
    </w:p>
    <w:p w:rsidR="007D2641" w:rsidRPr="00CE0587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>-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 xml:space="preserve"> „А</w:t>
      </w:r>
      <w:r w:rsidR="002B20D0">
        <w:rPr>
          <w:lang w:val="sr-Latn-BA"/>
        </w:rPr>
        <w:t>SW</w:t>
      </w:r>
      <w:r w:rsidRPr="00CE0587">
        <w:rPr>
          <w:lang w:val="sr-Cyrl-CS"/>
        </w:rPr>
        <w:t xml:space="preserve"> </w:t>
      </w:r>
      <w:r w:rsidR="002B20D0">
        <w:rPr>
          <w:lang w:val="sr-Cyrl-CS"/>
        </w:rPr>
        <w:t>инжењеринг</w:t>
      </w:r>
      <w:r w:rsidR="003A1E6D">
        <w:rPr>
          <w:lang w:val="sr-Latn-BA"/>
        </w:rPr>
        <w:t>“</w:t>
      </w:r>
      <w:r w:rsidRPr="00CE0587">
        <w:rPr>
          <w:lang w:val="sr-Cyrl-CS"/>
        </w:rPr>
        <w:t>.Би</w:t>
      </w:r>
      <w:r w:rsidR="002B20D0">
        <w:rPr>
          <w:lang w:val="sr-Cyrl-CS"/>
        </w:rPr>
        <w:t xml:space="preserve">јељина           </w:t>
      </w:r>
      <w:r w:rsidRPr="00CE0587">
        <w:rPr>
          <w:lang w:val="sr-Cyrl-CS"/>
        </w:rPr>
        <w:t>7.203 КМ</w:t>
      </w:r>
    </w:p>
    <w:p w:rsidR="007D2641" w:rsidRPr="00CE0587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>-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 xml:space="preserve"> „Геоматик“ д.о.о Бијељина</w:t>
      </w:r>
      <w:r w:rsidRPr="00CE0587">
        <w:rPr>
          <w:lang w:val="sr-Cyrl-CS"/>
        </w:rPr>
        <w:tab/>
        <w:t xml:space="preserve">     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 xml:space="preserve"> 5.100 КМ</w:t>
      </w:r>
    </w:p>
    <w:p w:rsidR="007D2641" w:rsidRPr="00CE0587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 xml:space="preserve">- „Електро-Бијељина“ </w:t>
      </w:r>
      <w:r w:rsidR="006D3EA1">
        <w:rPr>
          <w:lang w:val="sr-Cyrl-CS"/>
        </w:rPr>
        <w:t xml:space="preserve">Бијељина          </w:t>
      </w:r>
      <w:r w:rsidR="001634B2">
        <w:rPr>
          <w:lang w:val="sr-Cyrl-CS"/>
        </w:rPr>
        <w:t xml:space="preserve"> </w:t>
      </w:r>
      <w:r w:rsidR="006D3EA1">
        <w:rPr>
          <w:lang w:val="sr-Cyrl-CS"/>
        </w:rPr>
        <w:t xml:space="preserve"> </w:t>
      </w:r>
      <w:r w:rsidRPr="00CE0587">
        <w:rPr>
          <w:lang w:val="sr-Cyrl-CS"/>
        </w:rPr>
        <w:t>2.359 КМ</w:t>
      </w:r>
    </w:p>
    <w:p w:rsidR="007D2641" w:rsidRPr="00CE0587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 xml:space="preserve">- 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>„Телекомуникације РС“ Б.Лука</w:t>
      </w:r>
      <w:r w:rsidRPr="00CE0587">
        <w:rPr>
          <w:lang w:val="sr-Cyrl-CS"/>
        </w:rPr>
        <w:tab/>
        <w:t xml:space="preserve">    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 xml:space="preserve">  2.043 КМ</w:t>
      </w:r>
    </w:p>
    <w:p w:rsidR="007D2641" w:rsidRPr="00CE0587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>-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 xml:space="preserve"> „Олд-голд комерц“ д</w:t>
      </w:r>
      <w:r w:rsidR="001634B2">
        <w:rPr>
          <w:lang w:val="sr-Cyrl-CS"/>
        </w:rPr>
        <w:t>.</w:t>
      </w:r>
      <w:r w:rsidRPr="00CE0587">
        <w:rPr>
          <w:lang w:val="sr-Cyrl-CS"/>
        </w:rPr>
        <w:t>о</w:t>
      </w:r>
      <w:r w:rsidR="001634B2">
        <w:rPr>
          <w:lang w:val="sr-Cyrl-CS"/>
        </w:rPr>
        <w:t xml:space="preserve">.о Дворов       </w:t>
      </w:r>
      <w:r w:rsidRPr="00CE0587">
        <w:rPr>
          <w:lang w:val="sr-Cyrl-CS"/>
        </w:rPr>
        <w:t xml:space="preserve"> 1.717 КМ</w:t>
      </w:r>
    </w:p>
    <w:p w:rsidR="007D2641" w:rsidRPr="00CE0587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>-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>„Корона“ д.о.о. Бијељина                     1.381 КМ</w:t>
      </w:r>
    </w:p>
    <w:p w:rsidR="007D2641" w:rsidRPr="00CE0587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 xml:space="preserve">- „Дрина осигурање“ Милићи               </w:t>
      </w:r>
      <w:r w:rsidR="003A1E6D">
        <w:rPr>
          <w:lang w:val="sr-Latn-BA"/>
        </w:rPr>
        <w:t xml:space="preserve"> </w:t>
      </w:r>
      <w:r w:rsidRPr="00CE0587">
        <w:rPr>
          <w:lang w:val="sr-Cyrl-CS"/>
        </w:rPr>
        <w:t>1.381 КМ</w:t>
      </w:r>
    </w:p>
    <w:p w:rsidR="007D2641" w:rsidRPr="00CE0587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 xml:space="preserve">- </w:t>
      </w:r>
      <w:r w:rsidR="001634B2">
        <w:rPr>
          <w:lang w:val="sr-Cyrl-CS"/>
        </w:rPr>
        <w:t xml:space="preserve"> </w:t>
      </w:r>
      <w:r w:rsidRPr="00CE0587">
        <w:rPr>
          <w:lang w:val="sr-Cyrl-CS"/>
        </w:rPr>
        <w:t xml:space="preserve">Добављачи за нефакт.обавезе             8.517 КМ </w:t>
      </w:r>
    </w:p>
    <w:p w:rsidR="007D2641" w:rsidRPr="00CE0587" w:rsidRDefault="007D2641" w:rsidP="007D2641">
      <w:pPr>
        <w:jc w:val="both"/>
        <w:rPr>
          <w:u w:val="single"/>
          <w:lang w:val="sr-Cyrl-CS"/>
        </w:rPr>
      </w:pPr>
      <w:r w:rsidRPr="00CE0587">
        <w:rPr>
          <w:u w:val="single"/>
          <w:lang w:val="sr-Cyrl-CS"/>
        </w:rPr>
        <w:t>-</w:t>
      </w:r>
      <w:r w:rsidR="001634B2">
        <w:rPr>
          <w:u w:val="single"/>
          <w:lang w:val="sr-Cyrl-CS"/>
        </w:rPr>
        <w:t xml:space="preserve"> </w:t>
      </w:r>
      <w:r w:rsidRPr="00CE0587">
        <w:rPr>
          <w:u w:val="single"/>
          <w:lang w:val="sr-Cyrl-CS"/>
        </w:rPr>
        <w:t xml:space="preserve"> Остали                  </w:t>
      </w:r>
      <w:r w:rsidRPr="00CE0587">
        <w:rPr>
          <w:u w:val="single"/>
          <w:lang w:val="sr-Cyrl-CS"/>
        </w:rPr>
        <w:tab/>
      </w:r>
      <w:r w:rsidRPr="00CE0587">
        <w:rPr>
          <w:u w:val="single"/>
          <w:lang w:val="sr-Cyrl-CS"/>
        </w:rPr>
        <w:tab/>
      </w:r>
      <w:r w:rsidRPr="00CE0587">
        <w:rPr>
          <w:u w:val="single"/>
          <w:lang w:val="sr-Cyrl-CS"/>
        </w:rPr>
        <w:tab/>
        <w:t xml:space="preserve">    </w:t>
      </w:r>
      <w:r w:rsidR="001634B2">
        <w:rPr>
          <w:u w:val="single"/>
          <w:lang w:val="sr-Cyrl-CS"/>
        </w:rPr>
        <w:t xml:space="preserve"> </w:t>
      </w:r>
      <w:r w:rsidRPr="00CE0587">
        <w:rPr>
          <w:u w:val="single"/>
          <w:lang w:val="sr-Cyrl-CS"/>
        </w:rPr>
        <w:t xml:space="preserve">  3.840 КМ</w:t>
      </w:r>
    </w:p>
    <w:p w:rsidR="007D2641" w:rsidRPr="007D2641" w:rsidRDefault="007D2641" w:rsidP="007D2641">
      <w:pPr>
        <w:jc w:val="both"/>
        <w:rPr>
          <w:lang w:val="sr-Cyrl-CS"/>
        </w:rPr>
      </w:pPr>
      <w:r w:rsidRPr="00CE0587">
        <w:rPr>
          <w:lang w:val="sr-Cyrl-CS"/>
        </w:rPr>
        <w:t xml:space="preserve">                       Укупно</w:t>
      </w:r>
      <w:r w:rsidRPr="00CE0587">
        <w:rPr>
          <w:b/>
          <w:lang w:val="sr-Cyrl-CS"/>
        </w:rPr>
        <w:t xml:space="preserve">:                      </w:t>
      </w:r>
      <w:r w:rsidR="001634B2">
        <w:rPr>
          <w:b/>
          <w:lang w:val="sr-Cyrl-CS"/>
        </w:rPr>
        <w:t xml:space="preserve"> </w:t>
      </w:r>
      <w:r w:rsidRPr="00CE0587">
        <w:rPr>
          <w:b/>
          <w:lang w:val="sr-Cyrl-CS"/>
        </w:rPr>
        <w:t xml:space="preserve">  164.448 КМ</w:t>
      </w:r>
    </w:p>
    <w:p w:rsidR="007D2641" w:rsidRPr="0016379C" w:rsidRDefault="007D2641" w:rsidP="007D2641">
      <w:pPr>
        <w:jc w:val="both"/>
        <w:rPr>
          <w:lang w:val="sr-Cyrl-CS"/>
        </w:rPr>
      </w:pPr>
      <w:r w:rsidRPr="0016379C">
        <w:rPr>
          <w:lang w:val="sr-Cyrl-CS"/>
        </w:rPr>
        <w:t xml:space="preserve">Рочност добављача је приказана у Прилогу: Преглед обавеза/потраживања конто 432000 . 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16379C" w:rsidRDefault="007D2641" w:rsidP="007D2641">
      <w:pPr>
        <w:jc w:val="both"/>
        <w:rPr>
          <w:u w:val="single"/>
          <w:lang w:val="sr-Cyrl-CS"/>
        </w:rPr>
      </w:pPr>
      <w:r w:rsidRPr="0016379C">
        <w:rPr>
          <w:u w:val="single"/>
          <w:lang w:val="sr-Cyrl-CS"/>
        </w:rPr>
        <w:t>Напомена 3</w:t>
      </w:r>
      <w:r>
        <w:rPr>
          <w:u w:val="single"/>
          <w:lang w:val="sr-Cyrl-CS"/>
        </w:rPr>
        <w:t>4</w:t>
      </w:r>
      <w:r w:rsidRPr="0016379C">
        <w:rPr>
          <w:u w:val="single"/>
          <w:lang w:val="sr-Cyrl-CS"/>
        </w:rPr>
        <w:t>.</w:t>
      </w:r>
    </w:p>
    <w:p w:rsidR="007D2641" w:rsidRPr="0016379C" w:rsidRDefault="007D2641" w:rsidP="007D2641">
      <w:pPr>
        <w:jc w:val="both"/>
        <w:rPr>
          <w:lang w:val="sr-Cyrl-CS"/>
        </w:rPr>
      </w:pPr>
      <w:r w:rsidRPr="0016379C">
        <w:rPr>
          <w:lang w:val="sr-Cyrl-CS"/>
        </w:rPr>
        <w:t>Добављачи у иностранству (АОП 154) износе 21.120 КМ и односи се на дуг ЦИП Београд.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16379C" w:rsidRDefault="007D2641" w:rsidP="007D2641">
      <w:pPr>
        <w:jc w:val="both"/>
        <w:rPr>
          <w:u w:val="single"/>
          <w:lang w:val="sr-Cyrl-CS"/>
        </w:rPr>
      </w:pPr>
      <w:r w:rsidRPr="0016379C">
        <w:rPr>
          <w:u w:val="single"/>
          <w:lang w:val="sr-Cyrl-CS"/>
        </w:rPr>
        <w:lastRenderedPageBreak/>
        <w:t>Напомена 3</w:t>
      </w:r>
      <w:r>
        <w:rPr>
          <w:u w:val="single"/>
          <w:lang w:val="sr-Cyrl-CS"/>
        </w:rPr>
        <w:t>5</w:t>
      </w:r>
      <w:r w:rsidRPr="0016379C">
        <w:rPr>
          <w:u w:val="single"/>
          <w:lang w:val="sr-Cyrl-CS"/>
        </w:rPr>
        <w:t>.</w:t>
      </w:r>
    </w:p>
    <w:p w:rsidR="007D2641" w:rsidRPr="0016379C" w:rsidRDefault="007D2641" w:rsidP="007D2641">
      <w:pPr>
        <w:jc w:val="both"/>
        <w:rPr>
          <w:lang w:val="sr-Cyrl-CS"/>
        </w:rPr>
      </w:pPr>
      <w:r w:rsidRPr="0016379C">
        <w:rPr>
          <w:lang w:val="sr-Cyrl-CS"/>
        </w:rPr>
        <w:t>Обавезе за зараде и накнаде (АОП 157</w:t>
      </w:r>
      <w:r w:rsidR="00DB4247">
        <w:rPr>
          <w:lang w:val="sr-Cyrl-CS"/>
        </w:rPr>
        <w:t xml:space="preserve">) су 164.873 КМ и односе се на </w:t>
      </w:r>
      <w:r w:rsidRPr="0016379C">
        <w:rPr>
          <w:lang w:val="sr-Cyrl-CS"/>
        </w:rPr>
        <w:t>плате са порезима и доприносима  за новембар и децембар 2018. године.</w:t>
      </w:r>
    </w:p>
    <w:p w:rsidR="00DB4247" w:rsidRDefault="00DB4247" w:rsidP="007D2641">
      <w:pPr>
        <w:jc w:val="both"/>
        <w:rPr>
          <w:u w:val="single"/>
          <w:lang w:val="sr-Cyrl-CS"/>
        </w:rPr>
      </w:pPr>
    </w:p>
    <w:p w:rsidR="007D2641" w:rsidRPr="00391EC9" w:rsidRDefault="007D2641" w:rsidP="007D2641">
      <w:pPr>
        <w:jc w:val="both"/>
        <w:rPr>
          <w:u w:val="single"/>
          <w:lang w:val="sr-Cyrl-CS"/>
        </w:rPr>
      </w:pPr>
      <w:r w:rsidRPr="00391EC9">
        <w:rPr>
          <w:u w:val="single"/>
          <w:lang w:val="sr-Cyrl-CS"/>
        </w:rPr>
        <w:t>Напомена 3</w:t>
      </w:r>
      <w:r>
        <w:rPr>
          <w:u w:val="single"/>
          <w:lang w:val="sr-Cyrl-CS"/>
        </w:rPr>
        <w:t>6</w:t>
      </w:r>
      <w:r w:rsidRPr="00391EC9">
        <w:rPr>
          <w:u w:val="single"/>
          <w:lang w:val="sr-Cyrl-CS"/>
        </w:rPr>
        <w:t>.</w:t>
      </w:r>
    </w:p>
    <w:p w:rsidR="007D2641" w:rsidRPr="00FB4068" w:rsidRDefault="007D2641" w:rsidP="007D2641">
      <w:pPr>
        <w:jc w:val="both"/>
        <w:rPr>
          <w:lang w:val="sr-Cyrl-CS"/>
        </w:rPr>
      </w:pPr>
      <w:r w:rsidRPr="00FB4068">
        <w:rPr>
          <w:lang w:val="sr-Cyrl-CS"/>
        </w:rPr>
        <w:t>Друге обавезе (АОП 158) су 11.476 КМ и односе се на нето обавезе за Надзорни одбор (9.000 КМ), чланарина Привредној комори Бијељина из претходних година (2</w:t>
      </w:r>
      <w:r w:rsidR="00644F7B">
        <w:rPr>
          <w:lang w:val="sr-Cyrl-CS"/>
        </w:rPr>
        <w:t>.</w:t>
      </w:r>
      <w:r w:rsidRPr="00FB4068">
        <w:rPr>
          <w:lang w:val="sr-Cyrl-CS"/>
        </w:rPr>
        <w:t>457 КМ) и обавезе по основу камата за краткорочне кредите (19 КМ )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FB4068" w:rsidRDefault="007D2641" w:rsidP="007D2641">
      <w:pPr>
        <w:jc w:val="both"/>
        <w:rPr>
          <w:u w:val="single"/>
          <w:lang w:val="sr-Cyrl-CS"/>
        </w:rPr>
      </w:pPr>
      <w:r w:rsidRPr="00FB4068">
        <w:rPr>
          <w:u w:val="single"/>
          <w:lang w:val="sr-Cyrl-CS"/>
        </w:rPr>
        <w:t>Напомена 3</w:t>
      </w:r>
      <w:r>
        <w:rPr>
          <w:u w:val="single"/>
          <w:lang w:val="sr-Cyrl-CS"/>
        </w:rPr>
        <w:t>7</w:t>
      </w:r>
      <w:r w:rsidRPr="00FB4068">
        <w:rPr>
          <w:u w:val="single"/>
          <w:lang w:val="sr-Cyrl-CS"/>
        </w:rPr>
        <w:t>.</w:t>
      </w:r>
    </w:p>
    <w:p w:rsidR="007D2641" w:rsidRPr="00FB4068" w:rsidRDefault="007D2641" w:rsidP="007D2641">
      <w:pPr>
        <w:jc w:val="both"/>
        <w:rPr>
          <w:lang w:val="sr-Cyrl-CS"/>
        </w:rPr>
      </w:pPr>
      <w:r w:rsidRPr="00FB4068">
        <w:rPr>
          <w:lang w:val="sr-Cyrl-CS"/>
        </w:rPr>
        <w:t>Порез на додату вриједност (АОП 159) је 2</w:t>
      </w:r>
      <w:r w:rsidR="00EC75D2">
        <w:rPr>
          <w:lang w:val="sr-Cyrl-CS"/>
        </w:rPr>
        <w:t xml:space="preserve">4.160 КМ и односи се на ПДВ за </w:t>
      </w:r>
      <w:r w:rsidRPr="00FB4068">
        <w:rPr>
          <w:lang w:val="sr-Cyrl-CS"/>
        </w:rPr>
        <w:t>децембар 2018. године.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FB4068" w:rsidRDefault="007D2641" w:rsidP="007D2641">
      <w:pPr>
        <w:jc w:val="both"/>
        <w:rPr>
          <w:u w:val="single"/>
          <w:lang w:val="sr-Cyrl-CS"/>
        </w:rPr>
      </w:pPr>
      <w:r w:rsidRPr="00FB4068">
        <w:rPr>
          <w:u w:val="single"/>
          <w:lang w:val="sr-Cyrl-CS"/>
        </w:rPr>
        <w:t>Напомена 3</w:t>
      </w:r>
      <w:r>
        <w:rPr>
          <w:u w:val="single"/>
          <w:lang w:val="sr-Cyrl-CS"/>
        </w:rPr>
        <w:t>8</w:t>
      </w:r>
      <w:r w:rsidRPr="00FB4068">
        <w:rPr>
          <w:u w:val="single"/>
          <w:lang w:val="sr-Cyrl-CS"/>
        </w:rPr>
        <w:t>.</w:t>
      </w:r>
    </w:p>
    <w:p w:rsidR="007D2641" w:rsidRPr="00FB4068" w:rsidRDefault="007D2641" w:rsidP="007D2641">
      <w:pPr>
        <w:jc w:val="both"/>
        <w:rPr>
          <w:lang w:val="sr-Cyrl-CS"/>
        </w:rPr>
      </w:pPr>
      <w:r w:rsidRPr="00FB4068">
        <w:rPr>
          <w:lang w:val="sr-Cyrl-CS"/>
        </w:rPr>
        <w:t>Обавезе за остале порезе и доприносе (АОП 160) износе 29.671 КМ и односе се на накнаде за шуме и противпожарну заштиту, доприносе за професионалну рехабилитацију, порезе и доприносе за НО,  као и за комуналну таксу за паркинге – која је сама 25.650 КМ за последња три мјесеца 2018. године.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  <w:r w:rsidRPr="00CF1E71">
        <w:rPr>
          <w:color w:val="FF0000"/>
          <w:lang w:val="sr-Cyrl-CS"/>
        </w:rPr>
        <w:t xml:space="preserve"> </w:t>
      </w:r>
    </w:p>
    <w:p w:rsidR="007D2641" w:rsidRPr="00FB4068" w:rsidRDefault="007D2641" w:rsidP="007D2641">
      <w:pPr>
        <w:jc w:val="both"/>
        <w:rPr>
          <w:lang w:val="sr-Cyrl-CS"/>
        </w:rPr>
      </w:pPr>
      <w:r w:rsidRPr="00FB4068">
        <w:rPr>
          <w:u w:val="single"/>
          <w:lang w:val="sr-Cyrl-CS"/>
        </w:rPr>
        <w:t>Напомена 3</w:t>
      </w:r>
      <w:r>
        <w:rPr>
          <w:u w:val="single"/>
          <w:lang w:val="sr-Cyrl-CS"/>
        </w:rPr>
        <w:t>9</w:t>
      </w:r>
      <w:r w:rsidRPr="00FB4068">
        <w:rPr>
          <w:u w:val="single"/>
          <w:lang w:val="sr-Cyrl-CS"/>
        </w:rPr>
        <w:t>.</w:t>
      </w:r>
    </w:p>
    <w:p w:rsidR="007D2641" w:rsidRPr="00FB4068" w:rsidRDefault="007D2641" w:rsidP="007D2641">
      <w:pPr>
        <w:jc w:val="both"/>
        <w:rPr>
          <w:lang w:val="sr-Cyrl-CS"/>
        </w:rPr>
      </w:pPr>
      <w:r w:rsidRPr="00FB4068">
        <w:rPr>
          <w:lang w:val="sr-Cyrl-CS"/>
        </w:rPr>
        <w:t xml:space="preserve">Обавезе за порез на добитак (АОП 161) износе 5.366 КМ.  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FB4068" w:rsidRDefault="007D2641" w:rsidP="007D2641">
      <w:pPr>
        <w:jc w:val="both"/>
        <w:rPr>
          <w:lang w:val="sr-Cyrl-CS"/>
        </w:rPr>
      </w:pPr>
      <w:r w:rsidRPr="00FB4068">
        <w:rPr>
          <w:u w:val="single"/>
          <w:lang w:val="sr-Cyrl-CS"/>
        </w:rPr>
        <w:t xml:space="preserve">Напомена </w:t>
      </w:r>
      <w:r>
        <w:rPr>
          <w:u w:val="single"/>
          <w:lang w:val="sr-Cyrl-CS"/>
        </w:rPr>
        <w:t>40</w:t>
      </w:r>
      <w:r w:rsidRPr="00FB4068">
        <w:rPr>
          <w:u w:val="single"/>
          <w:lang w:val="sr-Cyrl-CS"/>
        </w:rPr>
        <w:t>.</w:t>
      </w:r>
    </w:p>
    <w:p w:rsidR="007D2641" w:rsidRPr="00BC58F8" w:rsidRDefault="007D2641" w:rsidP="007D2641">
      <w:pPr>
        <w:jc w:val="both"/>
        <w:rPr>
          <w:lang w:val="sr-Cyrl-CS"/>
        </w:rPr>
      </w:pPr>
      <w:r w:rsidRPr="00BC58F8">
        <w:rPr>
          <w:lang w:val="sr-Cyrl-CS"/>
        </w:rPr>
        <w:t>Пасивна временска разграничења (АОП 162) износи 2.860 КМ и односе  се на обавезе за УППП из 2013.г.- Војин Стојадиновић.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BC58F8" w:rsidRDefault="007D2641" w:rsidP="007D2641">
      <w:pPr>
        <w:jc w:val="both"/>
        <w:rPr>
          <w:u w:val="single"/>
          <w:lang w:val="sr-Cyrl-CS"/>
        </w:rPr>
      </w:pPr>
      <w:r w:rsidRPr="00BC58F8">
        <w:rPr>
          <w:u w:val="single"/>
          <w:lang w:val="sr-Cyrl-CS"/>
        </w:rPr>
        <w:t>Напомена 4</w:t>
      </w:r>
      <w:r>
        <w:rPr>
          <w:u w:val="single"/>
          <w:lang w:val="sr-Cyrl-CS"/>
        </w:rPr>
        <w:t>1</w:t>
      </w:r>
      <w:r w:rsidRPr="00BC58F8">
        <w:rPr>
          <w:u w:val="single"/>
          <w:lang w:val="sr-Cyrl-CS"/>
        </w:rPr>
        <w:t>.</w:t>
      </w:r>
    </w:p>
    <w:p w:rsidR="007D2641" w:rsidRPr="00BC58F8" w:rsidRDefault="007D2641" w:rsidP="007D2641">
      <w:pPr>
        <w:jc w:val="both"/>
        <w:rPr>
          <w:lang w:val="sr-Cyrl-CS"/>
        </w:rPr>
      </w:pPr>
      <w:r w:rsidRPr="00BC58F8">
        <w:rPr>
          <w:lang w:val="sr-Cyrl-CS"/>
        </w:rPr>
        <w:t>Пословна пасива (АОП 164) износи 697.885 КМ једнака је пословној активи (АОП 064)</w:t>
      </w:r>
    </w:p>
    <w:p w:rsidR="007D2641" w:rsidRPr="00CF1E71" w:rsidRDefault="007D2641" w:rsidP="007D2641">
      <w:pPr>
        <w:jc w:val="both"/>
        <w:rPr>
          <w:color w:val="FF0000"/>
          <w:u w:val="single"/>
          <w:lang w:val="sr-Cyrl-CS"/>
        </w:rPr>
      </w:pPr>
    </w:p>
    <w:p w:rsidR="007D2641" w:rsidRPr="00BC58F8" w:rsidRDefault="007D2641" w:rsidP="007D2641">
      <w:pPr>
        <w:jc w:val="both"/>
        <w:rPr>
          <w:u w:val="single"/>
          <w:lang w:val="sr-Cyrl-CS"/>
        </w:rPr>
      </w:pPr>
      <w:r w:rsidRPr="00BC58F8">
        <w:rPr>
          <w:u w:val="single"/>
          <w:lang w:val="sr-Cyrl-CS"/>
        </w:rPr>
        <w:t>Напомена 4</w:t>
      </w:r>
      <w:r>
        <w:rPr>
          <w:u w:val="single"/>
          <w:lang w:val="sr-Cyrl-CS"/>
        </w:rPr>
        <w:t>2</w:t>
      </w:r>
      <w:r w:rsidRPr="00BC58F8">
        <w:rPr>
          <w:u w:val="single"/>
          <w:lang w:val="sr-Cyrl-CS"/>
        </w:rPr>
        <w:t>.</w:t>
      </w:r>
    </w:p>
    <w:p w:rsidR="007D2641" w:rsidRPr="00BC58F8" w:rsidRDefault="007D2641" w:rsidP="007D2641">
      <w:pPr>
        <w:jc w:val="both"/>
        <w:rPr>
          <w:lang w:val="sr-Cyrl-CS"/>
        </w:rPr>
      </w:pPr>
      <w:r w:rsidRPr="00BC58F8">
        <w:rPr>
          <w:lang w:val="sr-Cyrl-CS"/>
        </w:rPr>
        <w:t>Ванбилансна пасива (АОП 165) износи 7.223.275 КМ и објашњена је у напомени 28</w:t>
      </w:r>
      <w:r>
        <w:rPr>
          <w:lang w:val="sr-Cyrl-CS"/>
        </w:rPr>
        <w:t>.</w:t>
      </w:r>
      <w:r w:rsidRPr="00BC58F8">
        <w:rPr>
          <w:lang w:val="sr-Cyrl-CS"/>
        </w:rPr>
        <w:t xml:space="preserve"> (АОП 065)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BC58F8" w:rsidRDefault="007D2641" w:rsidP="007D2641">
      <w:pPr>
        <w:jc w:val="both"/>
        <w:rPr>
          <w:lang w:val="sr-Cyrl-CS"/>
        </w:rPr>
      </w:pPr>
      <w:r w:rsidRPr="00BC58F8">
        <w:rPr>
          <w:lang w:val="sr-Cyrl-CS"/>
        </w:rPr>
        <w:t>Прилог:</w:t>
      </w:r>
    </w:p>
    <w:p w:rsidR="007D2641" w:rsidRPr="00BC58F8" w:rsidRDefault="007D2641" w:rsidP="007D2641">
      <w:pPr>
        <w:jc w:val="both"/>
        <w:rPr>
          <w:lang w:val="sr-Cyrl-CS"/>
        </w:rPr>
      </w:pPr>
      <w:r w:rsidRPr="00BC58F8">
        <w:rPr>
          <w:lang w:val="sr-Cyrl-CS"/>
        </w:rPr>
        <w:t>- Биланс успјеха 201</w:t>
      </w:r>
      <w:r>
        <w:rPr>
          <w:lang w:val="sr-Cyrl-CS"/>
        </w:rPr>
        <w:t>8</w:t>
      </w:r>
      <w:r w:rsidRPr="00BC58F8">
        <w:rPr>
          <w:lang w:val="sr-Cyrl-CS"/>
        </w:rPr>
        <w:t>.година</w:t>
      </w:r>
    </w:p>
    <w:p w:rsidR="007D2641" w:rsidRPr="00BC58F8" w:rsidRDefault="007D2641" w:rsidP="007D2641">
      <w:pPr>
        <w:jc w:val="both"/>
        <w:rPr>
          <w:lang w:val="sr-Cyrl-CS"/>
        </w:rPr>
      </w:pPr>
      <w:r w:rsidRPr="00BC58F8">
        <w:rPr>
          <w:lang w:val="sr-Cyrl-CS"/>
        </w:rPr>
        <w:t>- Биланс стања 201</w:t>
      </w:r>
      <w:r>
        <w:rPr>
          <w:lang w:val="sr-Cyrl-CS"/>
        </w:rPr>
        <w:t>8</w:t>
      </w:r>
      <w:r w:rsidRPr="00BC58F8">
        <w:rPr>
          <w:lang w:val="sr-Cyrl-CS"/>
        </w:rPr>
        <w:t>.година</w:t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</w:p>
    <w:p w:rsidR="007D2641" w:rsidRPr="00BC58F8" w:rsidRDefault="007D2641" w:rsidP="007D2641">
      <w:pPr>
        <w:jc w:val="both"/>
        <w:rPr>
          <w:lang w:val="sr-Cyrl-CS"/>
        </w:rPr>
      </w:pPr>
      <w:r w:rsidRPr="00BC58F8">
        <w:rPr>
          <w:lang w:val="sr-Cyrl-CS"/>
        </w:rPr>
        <w:t>- Преглед потраживања купаца</w:t>
      </w:r>
    </w:p>
    <w:p w:rsidR="007D2641" w:rsidRPr="00BC58F8" w:rsidRDefault="007D2641" w:rsidP="007D2641">
      <w:pPr>
        <w:jc w:val="both"/>
        <w:rPr>
          <w:lang w:val="sr-Cyrl-CS"/>
        </w:rPr>
      </w:pPr>
      <w:r w:rsidRPr="00BC58F8">
        <w:rPr>
          <w:lang w:val="sr-Cyrl-CS"/>
        </w:rPr>
        <w:t>- Преглед обавеза добављачима</w:t>
      </w: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CF1E71" w:rsidRDefault="007D2641" w:rsidP="007D2641">
      <w:pPr>
        <w:jc w:val="both"/>
        <w:rPr>
          <w:color w:val="FF0000"/>
          <w:lang w:val="sr-Cyrl-CS"/>
        </w:rPr>
      </w:pPr>
    </w:p>
    <w:p w:rsidR="007D2641" w:rsidRPr="00BC58F8" w:rsidRDefault="007D2641" w:rsidP="007D2641">
      <w:pPr>
        <w:jc w:val="both"/>
        <w:rPr>
          <w:lang w:val="sr-Cyrl-CS"/>
        </w:rPr>
      </w:pPr>
      <w:r w:rsidRPr="00CF1E71">
        <w:rPr>
          <w:color w:val="FF0000"/>
          <w:lang w:val="sr-Cyrl-CS"/>
        </w:rPr>
        <w:t xml:space="preserve">                                                                                                </w:t>
      </w:r>
      <w:r w:rsidRPr="00BC58F8">
        <w:rPr>
          <w:lang w:val="sr-Cyrl-CS"/>
        </w:rPr>
        <w:t>Д И Р Е К Т О Р</w:t>
      </w:r>
    </w:p>
    <w:p w:rsidR="007D2641" w:rsidRPr="00BC58F8" w:rsidRDefault="007D2641" w:rsidP="007D2641">
      <w:pPr>
        <w:jc w:val="both"/>
        <w:rPr>
          <w:lang w:val="sr-Cyrl-CS"/>
        </w:rPr>
      </w:pPr>
    </w:p>
    <w:p w:rsidR="007D2641" w:rsidRPr="00BC58F8" w:rsidRDefault="007D2641" w:rsidP="007D2641">
      <w:pPr>
        <w:jc w:val="both"/>
        <w:rPr>
          <w:lang w:val="sr-Cyrl-CS"/>
        </w:rPr>
      </w:pP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  <w:t>____________________________</w:t>
      </w:r>
    </w:p>
    <w:p w:rsidR="007D2641" w:rsidRPr="00BC58F8" w:rsidRDefault="007D2641" w:rsidP="007D2641">
      <w:pPr>
        <w:jc w:val="both"/>
        <w:rPr>
          <w:lang w:val="sr-Cyrl-CS"/>
        </w:rPr>
      </w:pPr>
      <w:r w:rsidRPr="00BC58F8">
        <w:rPr>
          <w:lang w:val="sr-Cyrl-CS"/>
        </w:rPr>
        <w:tab/>
      </w:r>
      <w:r w:rsidRPr="00BC58F8">
        <w:rPr>
          <w:lang w:val="sr-Latn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</w:r>
      <w:r w:rsidRPr="00BC58F8">
        <w:rPr>
          <w:lang w:val="sr-Cyrl-CS"/>
        </w:rPr>
        <w:tab/>
        <w:t xml:space="preserve">           Младен Петровић дипл.инж.грађ.</w:t>
      </w:r>
    </w:p>
    <w:p w:rsidR="007D2641" w:rsidRPr="005062B8" w:rsidRDefault="007D2641" w:rsidP="007D2641">
      <w:pPr>
        <w:rPr>
          <w:color w:val="FF0000"/>
        </w:rPr>
      </w:pPr>
    </w:p>
    <w:p w:rsidR="00EE0216" w:rsidRDefault="00EE0216" w:rsidP="007D2641">
      <w:pPr>
        <w:jc w:val="center"/>
      </w:pPr>
    </w:p>
    <w:sectPr w:rsidR="00EE0216" w:rsidSect="0078490C">
      <w:footerReference w:type="even" r:id="rId15"/>
      <w:footerReference w:type="default" r:id="rId16"/>
      <w:pgSz w:w="11906" w:h="16838"/>
      <w:pgMar w:top="1417" w:right="1417" w:bottom="72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2FD" w:rsidRDefault="002A42FD" w:rsidP="000E588C">
      <w:r>
        <w:separator/>
      </w:r>
    </w:p>
  </w:endnote>
  <w:endnote w:type="continuationSeparator" w:id="1">
    <w:p w:rsidR="002A42FD" w:rsidRDefault="002A42FD" w:rsidP="000E5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DE3" w:rsidRDefault="00003DE3" w:rsidP="007849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3DE3" w:rsidRDefault="00003DE3" w:rsidP="0078490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DE3" w:rsidRDefault="00003DE3" w:rsidP="007849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265D">
      <w:rPr>
        <w:rStyle w:val="PageNumber"/>
        <w:noProof/>
      </w:rPr>
      <w:t>6</w:t>
    </w:r>
    <w:r>
      <w:rPr>
        <w:rStyle w:val="PageNumber"/>
      </w:rPr>
      <w:fldChar w:fldCharType="end"/>
    </w:r>
  </w:p>
  <w:p w:rsidR="00003DE3" w:rsidRDefault="00003DE3" w:rsidP="0078490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2FD" w:rsidRDefault="002A42FD" w:rsidP="000E588C">
      <w:r>
        <w:separator/>
      </w:r>
    </w:p>
  </w:footnote>
  <w:footnote w:type="continuationSeparator" w:id="1">
    <w:p w:rsidR="002A42FD" w:rsidRDefault="002A42FD" w:rsidP="000E58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298"/>
    <w:multiLevelType w:val="hybridMultilevel"/>
    <w:tmpl w:val="832E13B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B86797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111067C"/>
    <w:multiLevelType w:val="hybridMultilevel"/>
    <w:tmpl w:val="0B088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AC43F3"/>
    <w:multiLevelType w:val="hybridMultilevel"/>
    <w:tmpl w:val="E1F03A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2215ABE"/>
    <w:multiLevelType w:val="hybridMultilevel"/>
    <w:tmpl w:val="DC74C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65E3D"/>
    <w:multiLevelType w:val="hybridMultilevel"/>
    <w:tmpl w:val="3126E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630772"/>
    <w:multiLevelType w:val="hybridMultilevel"/>
    <w:tmpl w:val="AAE833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1591B"/>
    <w:multiLevelType w:val="hybridMultilevel"/>
    <w:tmpl w:val="45E27E3E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373CE6"/>
    <w:multiLevelType w:val="hybridMultilevel"/>
    <w:tmpl w:val="97287BC8"/>
    <w:lvl w:ilvl="0" w:tplc="2E2E14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4D3CF7"/>
    <w:multiLevelType w:val="hybridMultilevel"/>
    <w:tmpl w:val="01EE55A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0645A8"/>
    <w:multiLevelType w:val="hybridMultilevel"/>
    <w:tmpl w:val="F89E5BB8"/>
    <w:lvl w:ilvl="0" w:tplc="68D2B7D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3C4D29"/>
    <w:multiLevelType w:val="hybridMultilevel"/>
    <w:tmpl w:val="D186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F5EFA"/>
    <w:multiLevelType w:val="hybridMultilevel"/>
    <w:tmpl w:val="E4D66A62"/>
    <w:lvl w:ilvl="0" w:tplc="B31CC4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7F10881"/>
    <w:multiLevelType w:val="hybridMultilevel"/>
    <w:tmpl w:val="FF4A53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7CAE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344DFF"/>
    <w:multiLevelType w:val="hybridMultilevel"/>
    <w:tmpl w:val="C8062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F67DF"/>
    <w:multiLevelType w:val="hybridMultilevel"/>
    <w:tmpl w:val="5D8A10D4"/>
    <w:lvl w:ilvl="0" w:tplc="E40065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17295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50CD8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34060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5341F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89212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C1CA8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9AA04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716298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5">
    <w:nsid w:val="327D2AC2"/>
    <w:multiLevelType w:val="hybridMultilevel"/>
    <w:tmpl w:val="6D967266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FD5728"/>
    <w:multiLevelType w:val="hybridMultilevel"/>
    <w:tmpl w:val="BED81252"/>
    <w:lvl w:ilvl="0" w:tplc="3DEE43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C422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BA3D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A88A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32A8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4869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C463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543D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2000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1C6448"/>
    <w:multiLevelType w:val="hybridMultilevel"/>
    <w:tmpl w:val="EECC9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EB29FA"/>
    <w:multiLevelType w:val="hybridMultilevel"/>
    <w:tmpl w:val="4E3837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6F1F06"/>
    <w:multiLevelType w:val="hybridMultilevel"/>
    <w:tmpl w:val="A6DE0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B174A5"/>
    <w:multiLevelType w:val="hybridMultilevel"/>
    <w:tmpl w:val="F2ECD39A"/>
    <w:lvl w:ilvl="0" w:tplc="DFAA3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3279B9"/>
    <w:multiLevelType w:val="hybridMultilevel"/>
    <w:tmpl w:val="27509C54"/>
    <w:lvl w:ilvl="0" w:tplc="BE44AA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709F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7A8E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C97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74E9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4895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787C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3C1E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761F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1E13E6"/>
    <w:multiLevelType w:val="hybridMultilevel"/>
    <w:tmpl w:val="D896A804"/>
    <w:lvl w:ilvl="0" w:tplc="8B0A60CC">
      <w:start w:val="1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8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>
    <w:nsid w:val="504228EC"/>
    <w:multiLevelType w:val="hybridMultilevel"/>
    <w:tmpl w:val="83D05E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A128EE"/>
    <w:multiLevelType w:val="hybridMultilevel"/>
    <w:tmpl w:val="CD6065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5596C47"/>
    <w:multiLevelType w:val="hybridMultilevel"/>
    <w:tmpl w:val="6B90CFF0"/>
    <w:lvl w:ilvl="0" w:tplc="79EE28C4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60D6D1B"/>
    <w:multiLevelType w:val="hybridMultilevel"/>
    <w:tmpl w:val="A9BE62E8"/>
    <w:lvl w:ilvl="0" w:tplc="129096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439A5"/>
    <w:multiLevelType w:val="hybridMultilevel"/>
    <w:tmpl w:val="86C0D59C"/>
    <w:lvl w:ilvl="0" w:tplc="023AD39C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9">
    <w:nsid w:val="5FA1014C"/>
    <w:multiLevelType w:val="hybridMultilevel"/>
    <w:tmpl w:val="FE349458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5723E8"/>
    <w:multiLevelType w:val="multilevel"/>
    <w:tmpl w:val="A96AC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3.2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1.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61EE32CA"/>
    <w:multiLevelType w:val="hybridMultilevel"/>
    <w:tmpl w:val="847E42B0"/>
    <w:lvl w:ilvl="0" w:tplc="8B64FE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BC05D3"/>
    <w:multiLevelType w:val="hybridMultilevel"/>
    <w:tmpl w:val="4EE298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6C1C31"/>
    <w:multiLevelType w:val="hybridMultilevel"/>
    <w:tmpl w:val="5E4AB3D2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30023E"/>
    <w:multiLevelType w:val="hybridMultilevel"/>
    <w:tmpl w:val="56CE8BF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06E0E77"/>
    <w:multiLevelType w:val="hybridMultilevel"/>
    <w:tmpl w:val="28469422"/>
    <w:lvl w:ilvl="0" w:tplc="B338E238">
      <w:start w:val="97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8410A5"/>
    <w:multiLevelType w:val="hybridMultilevel"/>
    <w:tmpl w:val="53B47952"/>
    <w:lvl w:ilvl="0" w:tplc="AE043AD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9879AC"/>
    <w:multiLevelType w:val="hybridMultilevel"/>
    <w:tmpl w:val="0FF6A89A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FF3958"/>
    <w:multiLevelType w:val="hybridMultilevel"/>
    <w:tmpl w:val="AEA2FC64"/>
    <w:lvl w:ilvl="0" w:tplc="BFF222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5"/>
  </w:num>
  <w:num w:numId="3">
    <w:abstractNumId w:val="36"/>
  </w:num>
  <w:num w:numId="4">
    <w:abstractNumId w:val="30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25"/>
  </w:num>
  <w:num w:numId="9">
    <w:abstractNumId w:val="32"/>
  </w:num>
  <w:num w:numId="10">
    <w:abstractNumId w:val="28"/>
  </w:num>
  <w:num w:numId="11">
    <w:abstractNumId w:val="8"/>
  </w:num>
  <w:num w:numId="12">
    <w:abstractNumId w:val="3"/>
  </w:num>
  <w:num w:numId="13">
    <w:abstractNumId w:val="15"/>
  </w:num>
  <w:num w:numId="14">
    <w:abstractNumId w:val="24"/>
  </w:num>
  <w:num w:numId="15">
    <w:abstractNumId w:val="5"/>
  </w:num>
  <w:num w:numId="16">
    <w:abstractNumId w:val="34"/>
  </w:num>
  <w:num w:numId="17">
    <w:abstractNumId w:val="6"/>
  </w:num>
  <w:num w:numId="18">
    <w:abstractNumId w:val="29"/>
  </w:num>
  <w:num w:numId="19">
    <w:abstractNumId w:val="17"/>
  </w:num>
  <w:num w:numId="20">
    <w:abstractNumId w:val="38"/>
  </w:num>
  <w:num w:numId="21">
    <w:abstractNumId w:val="39"/>
  </w:num>
  <w:num w:numId="22">
    <w:abstractNumId w:val="20"/>
  </w:num>
  <w:num w:numId="23">
    <w:abstractNumId w:val="1"/>
  </w:num>
  <w:num w:numId="24">
    <w:abstractNumId w:val="0"/>
  </w:num>
  <w:num w:numId="25">
    <w:abstractNumId w:val="18"/>
  </w:num>
  <w:num w:numId="26">
    <w:abstractNumId w:val="19"/>
  </w:num>
  <w:num w:numId="27">
    <w:abstractNumId w:val="33"/>
  </w:num>
  <w:num w:numId="28">
    <w:abstractNumId w:val="21"/>
  </w:num>
  <w:num w:numId="29">
    <w:abstractNumId w:val="14"/>
  </w:num>
  <w:num w:numId="30">
    <w:abstractNumId w:val="11"/>
  </w:num>
  <w:num w:numId="31">
    <w:abstractNumId w:val="26"/>
  </w:num>
  <w:num w:numId="32">
    <w:abstractNumId w:val="22"/>
  </w:num>
  <w:num w:numId="33">
    <w:abstractNumId w:val="16"/>
  </w:num>
  <w:num w:numId="34">
    <w:abstractNumId w:val="23"/>
  </w:num>
  <w:num w:numId="35">
    <w:abstractNumId w:val="31"/>
  </w:num>
  <w:num w:numId="36">
    <w:abstractNumId w:val="9"/>
  </w:num>
  <w:num w:numId="37">
    <w:abstractNumId w:val="12"/>
  </w:num>
  <w:num w:numId="38">
    <w:abstractNumId w:val="27"/>
  </w:num>
  <w:num w:numId="39">
    <w:abstractNumId w:val="10"/>
  </w:num>
  <w:num w:numId="40">
    <w:abstractNumId w:val="13"/>
  </w:num>
  <w:num w:numId="4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6FFE"/>
    <w:rsid w:val="00003DE3"/>
    <w:rsid w:val="00057325"/>
    <w:rsid w:val="000E588C"/>
    <w:rsid w:val="000F61B5"/>
    <w:rsid w:val="000F7BE0"/>
    <w:rsid w:val="001634B2"/>
    <w:rsid w:val="001773C0"/>
    <w:rsid w:val="00182A2A"/>
    <w:rsid w:val="001A35C7"/>
    <w:rsid w:val="001C09D4"/>
    <w:rsid w:val="002532DE"/>
    <w:rsid w:val="00286828"/>
    <w:rsid w:val="00294926"/>
    <w:rsid w:val="00297485"/>
    <w:rsid w:val="002A42FD"/>
    <w:rsid w:val="002B20D0"/>
    <w:rsid w:val="002B7E47"/>
    <w:rsid w:val="002D63C7"/>
    <w:rsid w:val="00323D36"/>
    <w:rsid w:val="003668CE"/>
    <w:rsid w:val="003A1E6D"/>
    <w:rsid w:val="0042770B"/>
    <w:rsid w:val="0043258C"/>
    <w:rsid w:val="00434740"/>
    <w:rsid w:val="00451D43"/>
    <w:rsid w:val="004D265D"/>
    <w:rsid w:val="004E07FC"/>
    <w:rsid w:val="005C28DB"/>
    <w:rsid w:val="005F620A"/>
    <w:rsid w:val="0061678C"/>
    <w:rsid w:val="00644F7B"/>
    <w:rsid w:val="00655DF1"/>
    <w:rsid w:val="006D3324"/>
    <w:rsid w:val="006D3EA1"/>
    <w:rsid w:val="006E32B5"/>
    <w:rsid w:val="006E43CB"/>
    <w:rsid w:val="00704860"/>
    <w:rsid w:val="007229FD"/>
    <w:rsid w:val="00755BEE"/>
    <w:rsid w:val="0078490C"/>
    <w:rsid w:val="00787533"/>
    <w:rsid w:val="007D2641"/>
    <w:rsid w:val="00864E2B"/>
    <w:rsid w:val="008844CE"/>
    <w:rsid w:val="00981368"/>
    <w:rsid w:val="009D04AC"/>
    <w:rsid w:val="00A132C5"/>
    <w:rsid w:val="00A67481"/>
    <w:rsid w:val="00AE6C11"/>
    <w:rsid w:val="00AF6FFE"/>
    <w:rsid w:val="00B15618"/>
    <w:rsid w:val="00B36C00"/>
    <w:rsid w:val="00B63DF9"/>
    <w:rsid w:val="00B7472F"/>
    <w:rsid w:val="00C31AC6"/>
    <w:rsid w:val="00C71FD4"/>
    <w:rsid w:val="00C76C61"/>
    <w:rsid w:val="00CA4F3F"/>
    <w:rsid w:val="00CF29E6"/>
    <w:rsid w:val="00D07D30"/>
    <w:rsid w:val="00D567D0"/>
    <w:rsid w:val="00DB4247"/>
    <w:rsid w:val="00DB64F0"/>
    <w:rsid w:val="00E05DA0"/>
    <w:rsid w:val="00E107FD"/>
    <w:rsid w:val="00E72925"/>
    <w:rsid w:val="00E73020"/>
    <w:rsid w:val="00EB455B"/>
    <w:rsid w:val="00EB6D18"/>
    <w:rsid w:val="00EC75D2"/>
    <w:rsid w:val="00EE0216"/>
    <w:rsid w:val="00EE0A59"/>
    <w:rsid w:val="00F13342"/>
    <w:rsid w:val="00F45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F6FFE"/>
    <w:pPr>
      <w:keepNext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F6FFE"/>
    <w:pPr>
      <w:keepNext/>
      <w:outlineLvl w:val="1"/>
    </w:pPr>
    <w:rPr>
      <w:b/>
      <w:sz w:val="22"/>
      <w:szCs w:val="22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AF6FFE"/>
    <w:pPr>
      <w:keepNext/>
      <w:jc w:val="both"/>
      <w:outlineLvl w:val="2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6FFE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F6FFE"/>
    <w:rPr>
      <w:rFonts w:ascii="Times New Roman" w:eastAsia="Times New Roman" w:hAnsi="Times New Roman" w:cs="Times New Roman"/>
      <w:b/>
      <w:lang w:val="sr-Cyrl-CS"/>
    </w:rPr>
  </w:style>
  <w:style w:type="character" w:customStyle="1" w:styleId="Heading3Char">
    <w:name w:val="Heading 3 Char"/>
    <w:basedOn w:val="DefaultParagraphFont"/>
    <w:link w:val="Heading3"/>
    <w:rsid w:val="00AF6FFE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">
    <w:name w:val="Body Text"/>
    <w:basedOn w:val="Normal"/>
    <w:link w:val="BodyTextChar"/>
    <w:rsid w:val="00AF6FFE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F6FF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AF6F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6FFE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F6FFE"/>
  </w:style>
  <w:style w:type="character" w:customStyle="1" w:styleId="CharChar">
    <w:name w:val="Char Char"/>
    <w:basedOn w:val="DefaultParagraphFont"/>
    <w:locked/>
    <w:rsid w:val="00AF6FFE"/>
    <w:rPr>
      <w:sz w:val="24"/>
      <w:szCs w:val="24"/>
      <w:lang w:val="sr-Cyrl-CS" w:eastAsia="en-US" w:bidi="ar-SA"/>
    </w:rPr>
  </w:style>
  <w:style w:type="table" w:styleId="TableGrid">
    <w:name w:val="Table Grid"/>
    <w:basedOn w:val="TableNormal"/>
    <w:rsid w:val="00AF6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6FFE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AF6FF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AF6F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6FFE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AF6FFE"/>
    <w:rPr>
      <w:b/>
      <w:bCs/>
    </w:rPr>
  </w:style>
  <w:style w:type="paragraph" w:styleId="ListParagraph">
    <w:name w:val="List Paragraph"/>
    <w:basedOn w:val="Normal"/>
    <w:uiPriority w:val="34"/>
    <w:qFormat/>
    <w:rsid w:val="00CF2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obijeljina.org/sajt/doc/Image/parkingbn/Zone.jpg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http://www.sobijeljina.org/sajt/doc/Image/parkingbn/Zona2Cijena.j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http://www.sobijeljina.org/sajt/doc/Image/parkingbn/Zona1Cijena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http://www.sobijeljina.org/sajt/doc/Image/parkingbn/Zona3Cijena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17</Pages>
  <Words>6176</Words>
  <Characters>35209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ljubinko.s</dc:creator>
  <cp:lastModifiedBy>vesna.j</cp:lastModifiedBy>
  <cp:revision>31</cp:revision>
  <dcterms:created xsi:type="dcterms:W3CDTF">2019-04-04T10:02:00Z</dcterms:created>
  <dcterms:modified xsi:type="dcterms:W3CDTF">2019-04-12T11:11:00Z</dcterms:modified>
</cp:coreProperties>
</file>