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Pr="00D63E95" w:rsidRDefault="004F07A4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6888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број: 500-1367-1/25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3A6888">
        <w:rPr>
          <w:rFonts w:ascii="Times New Roman" w:hAnsi="Times New Roman" w:cs="Times New Roman"/>
          <w:b w:val="0"/>
          <w:sz w:val="24"/>
          <w:szCs w:val="24"/>
          <w:lang w:val="sr-Cyrl-CS"/>
        </w:rPr>
        <w:t>03.03.2025. године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________.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b/>
          <w:sz w:val="24"/>
          <w:szCs w:val="24"/>
        </w:rPr>
        <w:t>5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D459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D4597C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</w:t>
      </w:r>
      <w:r w:rsidR="004F07A4">
        <w:rPr>
          <w:rFonts w:ascii="Times New Roman" w:hAnsi="Times New Roman" w:cs="Times New Roman"/>
          <w:sz w:val="24"/>
          <w:szCs w:val="24"/>
        </w:rPr>
        <w:t>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чисто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97C">
        <w:rPr>
          <w:rFonts w:ascii="Times New Roman" w:hAnsi="Times New Roman" w:cs="Times New Roman"/>
          <w:sz w:val="24"/>
          <w:szCs w:val="24"/>
        </w:rPr>
        <w:t>5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AC6F20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6B4B4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C3D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2F365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D4597C" w:rsidRDefault="00D4597C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ЖЕЉАНА АРСЕНОВИЋ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 w:rsidR="00422143">
        <w:rPr>
          <w:rFonts w:ascii="Times New Roman" w:hAnsi="Times New Roman"/>
          <w:sz w:val="24"/>
          <w:szCs w:val="24"/>
        </w:rPr>
        <w:t>53</w:t>
      </w:r>
      <w:r w:rsidR="00422143" w:rsidRPr="00DF26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42214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2F365D">
        <w:rPr>
          <w:rFonts w:ascii="Times New Roman" w:hAnsi="Times New Roman"/>
          <w:sz w:val="24"/>
          <w:szCs w:val="24"/>
          <w:lang w:val="sr-Cyrl-CS"/>
        </w:rPr>
        <w:t>:</w:t>
      </w:r>
      <w:r w:rsidR="00422143" w:rsidRPr="00141141">
        <w:rPr>
          <w:rFonts w:ascii="Times New Roman" w:hAnsi="Times New Roman"/>
          <w:sz w:val="24"/>
          <w:szCs w:val="24"/>
        </w:rPr>
        <w:t xml:space="preserve"> 90/17</w:t>
      </w:r>
      <w:r w:rsidR="001B69DB">
        <w:rPr>
          <w:rFonts w:ascii="Times New Roman" w:hAnsi="Times New Roman"/>
          <w:sz w:val="24"/>
          <w:szCs w:val="24"/>
        </w:rPr>
        <w:t>,</w:t>
      </w:r>
      <w:r w:rsidR="001B69DB" w:rsidRPr="001B69DB">
        <w:rPr>
          <w:rFonts w:ascii="Times New Roman" w:hAnsi="Times New Roman" w:cs="Times New Roman"/>
          <w:sz w:val="24"/>
          <w:szCs w:val="24"/>
        </w:rPr>
        <w:t xml:space="preserve"> </w:t>
      </w:r>
      <w:r w:rsidR="001B69DB">
        <w:rPr>
          <w:rFonts w:ascii="Times New Roman" w:hAnsi="Times New Roman" w:cs="Times New Roman"/>
          <w:sz w:val="24"/>
          <w:szCs w:val="24"/>
        </w:rPr>
        <w:t>42/20, 98/20 и 63/22</w:t>
      </w:r>
      <w:r w:rsidR="001B69DB">
        <w:rPr>
          <w:rFonts w:ascii="Times New Roman" w:hAnsi="Times New Roman"/>
          <w:sz w:val="24"/>
          <w:szCs w:val="24"/>
        </w:rPr>
        <w:t xml:space="preserve"> </w:t>
      </w:r>
      <w:r w:rsidR="00422143" w:rsidRPr="00141141">
        <w:rPr>
          <w:rFonts w:ascii="Times New Roman" w:hAnsi="Times New Roman"/>
          <w:sz w:val="24"/>
          <w:szCs w:val="24"/>
        </w:rPr>
        <w:t>).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42214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811F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</w:t>
      </w:r>
      <w:r w:rsidR="00811F79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</w:rPr>
        <w:t>фекције</w:t>
      </w:r>
      <w:r w:rsidR="00422143" w:rsidRPr="00A906A4">
        <w:rPr>
          <w:rFonts w:ascii="Times New Roman" w:hAnsi="Times New Roman"/>
          <w:sz w:val="24"/>
          <w:szCs w:val="24"/>
        </w:rPr>
        <w:t>,</w:t>
      </w:r>
      <w:r w:rsidR="00811F7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42214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42214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42214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422143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>.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42214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8F096C" w:rsidRPr="008F096C" w:rsidRDefault="004F07A4" w:rsidP="008F096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422143" w:rsidRPr="00DF2639">
        <w:rPr>
          <w:rFonts w:ascii="Times New Roman" w:hAnsi="Times New Roman"/>
          <w:sz w:val="24"/>
          <w:szCs w:val="24"/>
        </w:rPr>
        <w:t>.</w:t>
      </w:r>
    </w:p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8F096C" w:rsidTr="008F096C">
        <w:tc>
          <w:tcPr>
            <w:tcW w:w="4987" w:type="dxa"/>
            <w:hideMark/>
          </w:tcPr>
          <w:p w:rsidR="002F365D" w:rsidRPr="00D4597C" w:rsidRDefault="004F07A4" w:rsidP="002F365D">
            <w:pPr>
              <w:pStyle w:val="TableContents"/>
              <w:snapToGrid w:val="0"/>
              <w:spacing w:line="276" w:lineRule="auto"/>
              <w:rPr>
                <w:b/>
                <w:lang w:val="sr-Cyrl-CS"/>
              </w:rPr>
            </w:pPr>
            <w:r w:rsidRPr="001C7F06">
              <w:rPr>
                <w:b/>
                <w:lang w:val="sr-Cyrl-CS"/>
              </w:rPr>
              <w:t>Број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D4597C">
              <w:rPr>
                <w:b/>
              </w:rPr>
              <w:t>02/19-330-2-</w:t>
            </w:r>
            <w:r w:rsidR="00D4597C">
              <w:rPr>
                <w:b/>
                <w:lang w:val="sr-Cyrl-CS"/>
              </w:rPr>
              <w:t>41</w:t>
            </w:r>
            <w:r w:rsidR="00D4597C">
              <w:rPr>
                <w:b/>
              </w:rPr>
              <w:t>/2</w:t>
            </w:r>
            <w:r w:rsidR="00D4597C">
              <w:rPr>
                <w:b/>
                <w:lang w:val="sr-Cyrl-CS"/>
              </w:rPr>
              <w:t>5</w:t>
            </w:r>
          </w:p>
          <w:p w:rsidR="008F096C" w:rsidRPr="00AC6F20" w:rsidRDefault="004F07A4" w:rsidP="002F365D">
            <w:pPr>
              <w:pStyle w:val="TableContents"/>
              <w:snapToGrid w:val="0"/>
              <w:spacing w:line="276" w:lineRule="auto"/>
            </w:pPr>
            <w:r w:rsidRPr="001C7F06">
              <w:rPr>
                <w:b/>
                <w:lang w:val="sr-Cyrl-CS"/>
              </w:rPr>
              <w:t>Датум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D4597C">
              <w:rPr>
                <w:b/>
                <w:lang w:val="sr-Cyrl-CS"/>
              </w:rPr>
              <w:t>07</w:t>
            </w:r>
            <w:r w:rsidR="00D4597C">
              <w:rPr>
                <w:b/>
              </w:rPr>
              <w:t>.02.202</w:t>
            </w:r>
            <w:r w:rsidR="00D4597C">
              <w:rPr>
                <w:b/>
                <w:lang w:val="sr-Cyrl-CS"/>
              </w:rPr>
              <w:t>5</w:t>
            </w:r>
            <w:r w:rsidR="00AC6F20">
              <w:rPr>
                <w:b/>
              </w:rPr>
              <w:t>. године</w:t>
            </w:r>
          </w:p>
        </w:tc>
        <w:tc>
          <w:tcPr>
            <w:tcW w:w="4988" w:type="dxa"/>
          </w:tcPr>
          <w:p w:rsidR="008F096C" w:rsidRDefault="004F07A4" w:rsidP="002F365D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 w:rsidR="008F096C">
              <w:rPr>
                <w:lang w:val="sr-Cyrl-CS"/>
              </w:rPr>
              <w:t>:</w:t>
            </w:r>
          </w:p>
          <w:p w:rsidR="008F096C" w:rsidRPr="000F09AA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</w:t>
            </w:r>
            <w:r w:rsidR="008F096C">
              <w:t xml:space="preserve"> </w:t>
            </w:r>
            <w:r>
              <w:t>ЗА</w:t>
            </w:r>
            <w:r w:rsidR="008F096C">
              <w:t xml:space="preserve"> </w:t>
            </w:r>
            <w:r w:rsidR="000F09AA">
              <w:rPr>
                <w:lang w:val="sr-Cyrl-CS"/>
              </w:rPr>
              <w:t>ПОЉОПРИВРЕДУ</w:t>
            </w:r>
          </w:p>
          <w:p w:rsidR="008F096C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F096C">
              <w:rPr>
                <w:lang w:val="sr-Cyrl-CS"/>
              </w:rPr>
              <w:t>.</w:t>
            </w:r>
            <w:r>
              <w:rPr>
                <w:lang w:val="sr-Cyrl-CS"/>
              </w:rPr>
              <w:t>О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ГРАДОНАЧЕЛНИКА</w:t>
            </w:r>
            <w:r w:rsidR="008F096C">
              <w:rPr>
                <w:lang w:val="sr-Cyrl-CS"/>
              </w:rPr>
              <w:t>: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8F096C" w:rsidRDefault="000F09AA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</w:tc>
      </w:tr>
    </w:tbl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F07A4">
        <w:rPr>
          <w:rFonts w:ascii="Times New Roman" w:hAnsi="Times New Roman" w:cs="Times New Roman"/>
          <w:sz w:val="24"/>
          <w:szCs w:val="24"/>
        </w:rPr>
        <w:t>ПРЕДЛАГАЧ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F096C" w:rsidRPr="002F365D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Љубиша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Петровић</w:t>
      </w: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RP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2B5" w:rsidRDefault="003F62B5" w:rsidP="009F67C5">
      <w:r>
        <w:separator/>
      </w:r>
    </w:p>
  </w:endnote>
  <w:endnote w:type="continuationSeparator" w:id="0">
    <w:p w:rsidR="003F62B5" w:rsidRDefault="003F62B5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2B5" w:rsidRDefault="003F62B5" w:rsidP="009F67C5">
      <w:r>
        <w:separator/>
      </w:r>
    </w:p>
  </w:footnote>
  <w:footnote w:type="continuationSeparator" w:id="0">
    <w:p w:rsidR="003F62B5" w:rsidRDefault="003F62B5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42214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A498E3F6B214DD7A1C1E76EBB0E61B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22143" w:rsidRDefault="00422143" w:rsidP="0042214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338E1F00E2D4B75B61C8EEE9BA234B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2-07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22143" w:rsidRDefault="00D4597C" w:rsidP="006A11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2025</w:t>
              </w:r>
            </w:p>
          </w:tc>
        </w:sdtContent>
      </w:sdt>
    </w:tr>
  </w:tbl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270BF"/>
    <w:rsid w:val="0004210A"/>
    <w:rsid w:val="0005335F"/>
    <w:rsid w:val="000706E8"/>
    <w:rsid w:val="000726D1"/>
    <w:rsid w:val="000829B9"/>
    <w:rsid w:val="00095D4D"/>
    <w:rsid w:val="000A4495"/>
    <w:rsid w:val="000F09AA"/>
    <w:rsid w:val="000F7F50"/>
    <w:rsid w:val="00125A59"/>
    <w:rsid w:val="00141D96"/>
    <w:rsid w:val="0016332F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66E6"/>
    <w:rsid w:val="002A19E1"/>
    <w:rsid w:val="002A3FD7"/>
    <w:rsid w:val="002C5931"/>
    <w:rsid w:val="002F365D"/>
    <w:rsid w:val="00301BE5"/>
    <w:rsid w:val="003300A7"/>
    <w:rsid w:val="00352887"/>
    <w:rsid w:val="003947C4"/>
    <w:rsid w:val="003A6888"/>
    <w:rsid w:val="003B2620"/>
    <w:rsid w:val="003F62B5"/>
    <w:rsid w:val="00422143"/>
    <w:rsid w:val="00427468"/>
    <w:rsid w:val="00456B00"/>
    <w:rsid w:val="004B3968"/>
    <w:rsid w:val="004C411C"/>
    <w:rsid w:val="004C731F"/>
    <w:rsid w:val="004E7390"/>
    <w:rsid w:val="004F07A4"/>
    <w:rsid w:val="005038E4"/>
    <w:rsid w:val="0052101E"/>
    <w:rsid w:val="00525560"/>
    <w:rsid w:val="00554733"/>
    <w:rsid w:val="00564C29"/>
    <w:rsid w:val="00580C90"/>
    <w:rsid w:val="0058273D"/>
    <w:rsid w:val="00593ECF"/>
    <w:rsid w:val="00647978"/>
    <w:rsid w:val="006518EA"/>
    <w:rsid w:val="00683EC4"/>
    <w:rsid w:val="00685C46"/>
    <w:rsid w:val="006A11C5"/>
    <w:rsid w:val="006B4B43"/>
    <w:rsid w:val="00790CBD"/>
    <w:rsid w:val="007948C0"/>
    <w:rsid w:val="007965B0"/>
    <w:rsid w:val="007C3406"/>
    <w:rsid w:val="007C49B3"/>
    <w:rsid w:val="007D68A3"/>
    <w:rsid w:val="007F6E8C"/>
    <w:rsid w:val="007F7BFB"/>
    <w:rsid w:val="00811F79"/>
    <w:rsid w:val="008151CB"/>
    <w:rsid w:val="00816A47"/>
    <w:rsid w:val="008268F5"/>
    <w:rsid w:val="00851098"/>
    <w:rsid w:val="008863CB"/>
    <w:rsid w:val="008B045F"/>
    <w:rsid w:val="008B5538"/>
    <w:rsid w:val="008F096C"/>
    <w:rsid w:val="009A13D3"/>
    <w:rsid w:val="009A66A1"/>
    <w:rsid w:val="009D37E6"/>
    <w:rsid w:val="009F67C5"/>
    <w:rsid w:val="00A0572B"/>
    <w:rsid w:val="00A2396F"/>
    <w:rsid w:val="00A37862"/>
    <w:rsid w:val="00A71BE0"/>
    <w:rsid w:val="00A7569F"/>
    <w:rsid w:val="00AB3A58"/>
    <w:rsid w:val="00AC6F20"/>
    <w:rsid w:val="00B036B9"/>
    <w:rsid w:val="00B31A22"/>
    <w:rsid w:val="00B70F45"/>
    <w:rsid w:val="00B71848"/>
    <w:rsid w:val="00B81494"/>
    <w:rsid w:val="00C0222C"/>
    <w:rsid w:val="00C04278"/>
    <w:rsid w:val="00C74E35"/>
    <w:rsid w:val="00C75B63"/>
    <w:rsid w:val="00C838E3"/>
    <w:rsid w:val="00CA15CA"/>
    <w:rsid w:val="00CB3AD0"/>
    <w:rsid w:val="00D4597C"/>
    <w:rsid w:val="00D60F82"/>
    <w:rsid w:val="00D61407"/>
    <w:rsid w:val="00D63E95"/>
    <w:rsid w:val="00D66711"/>
    <w:rsid w:val="00DE360B"/>
    <w:rsid w:val="00E0109D"/>
    <w:rsid w:val="00E0725C"/>
    <w:rsid w:val="00E170E6"/>
    <w:rsid w:val="00E42650"/>
    <w:rsid w:val="00E81068"/>
    <w:rsid w:val="00E85207"/>
    <w:rsid w:val="00EA18D9"/>
    <w:rsid w:val="00EE0D70"/>
    <w:rsid w:val="00F476B8"/>
    <w:rsid w:val="00F62DF3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498E3F6B214DD7A1C1E76EBB0E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D0D58-29FF-4DB0-B55F-E966FACD1F30}"/>
      </w:docPartPr>
      <w:docPartBody>
        <w:p w:rsidR="00124A8A" w:rsidRDefault="00435D8C" w:rsidP="00435D8C">
          <w:pPr>
            <w:pStyle w:val="9A498E3F6B214DD7A1C1E76EBB0E61B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338E1F00E2D4B75B61C8EEE9BA2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F586-BBFB-42B4-8F63-1D20BBD54DE9}"/>
      </w:docPartPr>
      <w:docPartBody>
        <w:p w:rsidR="00124A8A" w:rsidRDefault="00435D8C" w:rsidP="00435D8C">
          <w:pPr>
            <w:pStyle w:val="F338E1F00E2D4B75B61C8EEE9BA234B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5D8C"/>
    <w:rsid w:val="0007271B"/>
    <w:rsid w:val="000E29C9"/>
    <w:rsid w:val="00122A1F"/>
    <w:rsid w:val="00124A8A"/>
    <w:rsid w:val="00185DD3"/>
    <w:rsid w:val="00207CA4"/>
    <w:rsid w:val="00303A6A"/>
    <w:rsid w:val="00435D8C"/>
    <w:rsid w:val="004D284B"/>
    <w:rsid w:val="00510715"/>
    <w:rsid w:val="005369BA"/>
    <w:rsid w:val="006E52DD"/>
    <w:rsid w:val="0073686E"/>
    <w:rsid w:val="009076EA"/>
    <w:rsid w:val="0091019C"/>
    <w:rsid w:val="00A41123"/>
    <w:rsid w:val="00A41EFC"/>
    <w:rsid w:val="00A660F0"/>
    <w:rsid w:val="00AA0CE6"/>
    <w:rsid w:val="00AF420A"/>
    <w:rsid w:val="00CF6EF8"/>
    <w:rsid w:val="00D063BD"/>
    <w:rsid w:val="00F13DA1"/>
    <w:rsid w:val="00F64AAF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498E3F6B214DD7A1C1E76EBB0E61B3">
    <w:name w:val="9A498E3F6B214DD7A1C1E76EBB0E61B3"/>
    <w:rsid w:val="00435D8C"/>
  </w:style>
  <w:style w:type="paragraph" w:customStyle="1" w:styleId="F338E1F00E2D4B75B61C8EEE9BA234B3">
    <w:name w:val="F338E1F00E2D4B75B61C8EEE9BA234B3"/>
    <w:rsid w:val="00435D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927B66-F5B5-490B-93EC-883D9EB5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mira.ristic</cp:lastModifiedBy>
  <cp:revision>2</cp:revision>
  <cp:lastPrinted>2025-02-07T13:02:00Z</cp:lastPrinted>
  <dcterms:created xsi:type="dcterms:W3CDTF">2025-03-11T11:14:00Z</dcterms:created>
  <dcterms:modified xsi:type="dcterms:W3CDTF">2025-03-11T11:14:00Z</dcterms:modified>
</cp:coreProperties>
</file>