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i/>
          <w:iCs/>
          <w:noProof/>
        </w:rPr>
        <w:drawing>
          <wp:inline distT="0" distB="0" distL="0" distR="0">
            <wp:extent cx="895350" cy="102870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center"/>
        <w:rPr>
          <w:rFonts w:ascii="Arial" w:hAnsi="Arial" w:cs="Arial"/>
          <w:b/>
          <w:bCs/>
          <w:color w:val="FF0000"/>
          <w:sz w:val="40"/>
          <w:szCs w:val="40"/>
          <w:lang w:val="sr-Cyrl-BA"/>
        </w:rPr>
      </w:pPr>
      <w:r w:rsidRPr="00FB273E"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ГРАД БИЈЕЉИНА</w:t>
      </w: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45774D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5F3483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BA"/>
        </w:rPr>
      </w:pPr>
      <w:r>
        <w:rPr>
          <w:rFonts w:ascii="Arial" w:hAnsi="Arial" w:cs="Arial"/>
          <w:b/>
          <w:bCs/>
          <w:sz w:val="40"/>
          <w:szCs w:val="40"/>
          <w:lang w:val="sr-Cyrl-BA"/>
        </w:rPr>
        <w:t xml:space="preserve">                             </w:t>
      </w:r>
    </w:p>
    <w:p w:rsidR="006A45B6" w:rsidRPr="00FB273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BA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ИНФОРМАЦИЈ</w:t>
      </w:r>
      <w:r w:rsidR="00E00EBC">
        <w:rPr>
          <w:rFonts w:ascii="Arial" w:hAnsi="Arial" w:cs="Arial"/>
          <w:b/>
          <w:bCs/>
          <w:color w:val="244061"/>
          <w:sz w:val="40"/>
          <w:szCs w:val="40"/>
        </w:rPr>
        <w:t>A</w:t>
      </w: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 xml:space="preserve"> О РАДУ</w:t>
      </w:r>
    </w:p>
    <w:p w:rsidR="006A45B6" w:rsidRPr="005665E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CS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МЈЕСНИХ ЗАЈЕДНИЦА</w:t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P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color w:val="345A8A"/>
          <w:sz w:val="32"/>
          <w:szCs w:val="32"/>
          <w:lang w:val="sr-Cyrl-BA"/>
        </w:rPr>
      </w:pPr>
      <w:r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Бијељина,</w:t>
      </w:r>
      <w:r w:rsidR="006D5E65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 xml:space="preserve"> 20</w:t>
      </w:r>
      <w:r w:rsidR="006D5E65">
        <w:rPr>
          <w:rFonts w:ascii="Arial" w:hAnsi="Arial" w:cs="Arial"/>
          <w:b/>
          <w:bCs/>
          <w:color w:val="345A8A"/>
          <w:sz w:val="32"/>
          <w:szCs w:val="32"/>
        </w:rPr>
        <w:t>2</w:t>
      </w:r>
      <w:r w:rsidR="0038149F">
        <w:rPr>
          <w:rFonts w:ascii="Arial" w:hAnsi="Arial" w:cs="Arial"/>
          <w:b/>
          <w:bCs/>
          <w:color w:val="345A8A"/>
          <w:sz w:val="32"/>
          <w:szCs w:val="32"/>
        </w:rPr>
        <w:t>1</w:t>
      </w:r>
      <w:r w:rsidRPr="005665EE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. година</w:t>
      </w:r>
    </w:p>
    <w:p w:rsidR="00B53DE2" w:rsidRPr="00B53DE2" w:rsidRDefault="00B53DE2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326BE5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ИНФОРМАЦИЈА</w:t>
      </w: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Pr="00326BE5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780957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Pr="00326BE5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20</w:t>
      </w:r>
      <w:r w:rsidR="00780957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д којих је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13.</w:t>
      </w:r>
      <w:r w:rsidR="00CA3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A3D64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подручју насељеног мјеста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Pr="00326BE5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у сеоским мјесним заједницама, када су у питању некатегорисани путеви, односе се на њих</w:t>
      </w:r>
      <w:r w:rsidR="0078095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во одржавање, заштиту од узурпације, затрпавања путних јарака или њиховог неодржавања,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ве, кој</w:t>
      </w:r>
      <w:r w:rsidR="00CE546B">
        <w:rPr>
          <w:rFonts w:ascii="Times New Roman" w:hAnsi="Times New Roman" w:cs="Times New Roman"/>
          <w:sz w:val="24"/>
          <w:szCs w:val="24"/>
        </w:rPr>
        <w:t>a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 је у профилу пута, те утиче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 xml:space="preserve"> да су путеви непрегледни </w:t>
      </w:r>
      <w:proofErr w:type="spellStart"/>
      <w:r w:rsidR="00CE546B">
        <w:rPr>
          <w:rFonts w:ascii="Times New Roman" w:hAnsi="Times New Roman" w:cs="Times New Roman"/>
          <w:sz w:val="24"/>
          <w:szCs w:val="24"/>
        </w:rPr>
        <w:t>чиме</w:t>
      </w:r>
      <w:proofErr w:type="spellEnd"/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 w:rsidRPr="00326BE5">
        <w:rPr>
          <w:rFonts w:ascii="Times New Roman" w:hAnsi="Times New Roman" w:cs="Times New Roman"/>
          <w:sz w:val="24"/>
          <w:szCs w:val="24"/>
        </w:rPr>
        <w:t>,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сас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јецања живице и растиња, заштите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путних јарака од затрпавања,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тиме би практично и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Pr="00326BE5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. Парцелама које су у власништву Града Бијељина, а које је преузело један мањи број мјесних гробаља на управљање и одржавање,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(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„Службени гласник Републике Српске“ број: 31/13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)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. Мјесне заједнице немају никакву надлежност везано за управљање и одржавање гробаља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F191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Поједине мјесне заједнице имају потребу рјешавања проширења постојећих мјесних гробаља, такви случајеви су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заједницама: Обријеж, с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</w:t>
      </w:r>
      <w:r w:rsidR="00986713">
        <w:rPr>
          <w:rFonts w:ascii="Times New Roman" w:hAnsi="Times New Roman" w:cs="Times New Roman"/>
          <w:sz w:val="24"/>
          <w:szCs w:val="24"/>
          <w:lang w:val="sr-Cyrl-BA"/>
        </w:rPr>
        <w:t>ца и Обријежи, Брода</w:t>
      </w:r>
      <w:r w:rsidR="005B34CA">
        <w:rPr>
          <w:rFonts w:ascii="Times New Roman" w:hAnsi="Times New Roman" w:cs="Times New Roman"/>
          <w:sz w:val="24"/>
          <w:szCs w:val="24"/>
          <w:lang w:val="sr-Cyrl-BA"/>
        </w:rPr>
        <w:t>ц, Нови, Батковић и насељено мјесто Тријешница.</w:t>
      </w:r>
    </w:p>
    <w:p w:rsidR="006A4A15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1E6C83" w:rsidRPr="00326BE5" w:rsidRDefault="00E62F24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 w:rsidRPr="00326BE5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 w:rsidRPr="00326BE5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 w:rsidRPr="00326BE5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везан</w:t>
      </w:r>
      <w:r w:rsidR="009A2DE5" w:rsidRPr="00326B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ке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</w:rPr>
        <w:t>(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 w:rsidRPr="00326BE5">
        <w:rPr>
          <w:rFonts w:ascii="Times New Roman" w:hAnsi="Times New Roman" w:cs="Times New Roman"/>
          <w:sz w:val="24"/>
          <w:szCs w:val="24"/>
        </w:rPr>
        <w:t>)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проблем јавља као последица неодговорног понашања дијела мјештана, који 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вјероватно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D36BCA" w:rsidRPr="00D36BCA" w:rsidRDefault="00D36BCA" w:rsidP="006F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A4A15" w:rsidRDefault="006A4A1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15095" w:rsidRDefault="00D36BCA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реализованих пројеката изградње водоводних линија у 20</w:t>
      </w:r>
      <w:r w:rsidR="00240506">
        <w:rPr>
          <w:rFonts w:ascii="Times New Roman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hAnsi="Times New Roman" w:cs="Times New Roman"/>
          <w:sz w:val="24"/>
          <w:szCs w:val="24"/>
          <w:lang w:val="sr-Cyrl-BA"/>
        </w:rPr>
        <w:t>.г</w:t>
      </w:r>
    </w:p>
    <w:p w:rsidR="00EE2F0E" w:rsidRDefault="00EE2F0E" w:rsidP="00EE2F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40506" w:rsidRDefault="00FF0E88" w:rsidP="002405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Програмом изградње комуналне инфраструктуре на територији Града Бијељина за 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. годину за изградњу-проширење водоводних мрежа планирана су средства у износу од 1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80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000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00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КМ. У складу са Одлуком о поступку и кретеријумима за суфинансирање пројеката мјесних заједница на подручју Града Бијељина („Службени гласник Општине Бијељина“, број: 29/06, 16/08, 29/08, 24/11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, 23/19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и 21/12), Град учествује у суфинансирању изградње-проширења водоводних мрежа у износу од 80% а грађани 20%. У склопу реализације наведеног пројекта, у 20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. Години за изградњу-проширење водоводних мрежа на подручју Града Бијељина, потписано је укупно 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18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уговора у вриједности од 17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8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908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48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КМ, од чега су 14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3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126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78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КМ средства из буџета Града Бијељина и 35.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781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70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 КМ средства мјесних заједница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 xml:space="preserve"> односно грађана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240506">
        <w:rPr>
          <w:rFonts w:ascii="Times New Roman" w:hAnsi="Times New Roman" w:cs="Times New Roman"/>
          <w:sz w:val="24"/>
          <w:szCs w:val="24"/>
          <w:lang w:val="bs-Cyrl-BA"/>
        </w:rPr>
        <w:t>Од склопљених 18 уговора реализовано јее укупно 15, а из разлога што са 3 уговора грађани нису измирили свој дио обавеза закључно са 31.12.2020.године када је био крајњи рок за реализацију уговора</w:t>
      </w:r>
      <w:r w:rsidR="00240506" w:rsidRPr="006C10E8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240506" w:rsidRDefault="00240506" w:rsidP="0024050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Према наведеном укупна вриједност реализованих уговора је 107.759,44КМ , од чега су 86.207,55КМ средства из буџета Града Бијељина и 21.551,89КМ средства мјесних заједница односно грађана.</w:t>
      </w:r>
    </w:p>
    <w:p w:rsidR="00906561" w:rsidRDefault="00240506" w:rsidP="0024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Укупна дужина новоизграђене водоводне мреже износи 2.414,20м².</w:t>
      </w:r>
    </w:p>
    <w:p w:rsidR="00EE2F0E" w:rsidRPr="00EE2F0E" w:rsidRDefault="00EE2F0E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06561" w:rsidRDefault="00D36BCA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</w:t>
      </w:r>
      <w:r w:rsidR="006B36CA">
        <w:rPr>
          <w:rFonts w:ascii="Times New Roman" w:hAnsi="Times New Roman" w:cs="Times New Roman"/>
          <w:sz w:val="24"/>
          <w:szCs w:val="24"/>
          <w:lang w:val="sr-Cyrl-BA"/>
        </w:rPr>
        <w:t>ни пројеката асфалтирања у 20</w:t>
      </w:r>
      <w:r w:rsidR="00E735D8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години</w:t>
      </w:r>
    </w:p>
    <w:p w:rsidR="006D5E65" w:rsidRDefault="006D5E65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E735D8" w:rsidRPr="00CD79BC" w:rsidRDefault="006D5E65" w:rsidP="00E735D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Током </w:t>
      </w:r>
      <w:r w:rsidR="00E735D8">
        <w:rPr>
          <w:rFonts w:ascii="Times New Roman" w:hAnsi="Times New Roman" w:cs="Times New Roman"/>
          <w:sz w:val="24"/>
          <w:szCs w:val="24"/>
          <w:lang w:val="sr-Cyrl-BA"/>
        </w:rPr>
        <w:t>20</w:t>
      </w:r>
      <w:proofErr w:type="spellStart"/>
      <w:r w:rsidR="00E735D8">
        <w:rPr>
          <w:rFonts w:ascii="Times New Roman" w:hAnsi="Times New Roman" w:cs="Times New Roman"/>
          <w:sz w:val="24"/>
          <w:szCs w:val="24"/>
        </w:rPr>
        <w:t>20</w:t>
      </w:r>
      <w:proofErr w:type="spellEnd"/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на подручју Града Бијељина извршена је изградња и асфалтирање локалних, некатегорисаних путева и градских улица у дужини од </w:t>
      </w:r>
      <w:r w:rsidR="00E735D8">
        <w:rPr>
          <w:rFonts w:ascii="Times New Roman" w:hAnsi="Times New Roman" w:cs="Times New Roman"/>
          <w:sz w:val="24"/>
          <w:szCs w:val="24"/>
        </w:rPr>
        <w:t>3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35D8">
        <w:rPr>
          <w:rFonts w:ascii="Times New Roman" w:hAnsi="Times New Roman" w:cs="Times New Roman"/>
          <w:sz w:val="24"/>
          <w:szCs w:val="24"/>
        </w:rPr>
        <w:t>875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 метара. Укупна вриједност изведених радова износи </w:t>
      </w:r>
      <w:r w:rsidR="00E735D8">
        <w:rPr>
          <w:rFonts w:ascii="Times New Roman" w:hAnsi="Times New Roman" w:cs="Times New Roman"/>
          <w:sz w:val="24"/>
          <w:szCs w:val="24"/>
        </w:rPr>
        <w:t>1.199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35D8">
        <w:rPr>
          <w:rFonts w:ascii="Times New Roman" w:hAnsi="Times New Roman" w:cs="Times New Roman"/>
          <w:sz w:val="24"/>
          <w:szCs w:val="24"/>
        </w:rPr>
        <w:t>611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735D8">
        <w:rPr>
          <w:rFonts w:ascii="Times New Roman" w:hAnsi="Times New Roman" w:cs="Times New Roman"/>
          <w:sz w:val="24"/>
          <w:szCs w:val="24"/>
        </w:rPr>
        <w:t>19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 КМ, од чега је из буџета Града издвојено </w:t>
      </w:r>
      <w:r w:rsidR="00E735D8">
        <w:rPr>
          <w:rFonts w:ascii="Times New Roman" w:hAnsi="Times New Roman" w:cs="Times New Roman"/>
          <w:sz w:val="24"/>
          <w:szCs w:val="24"/>
        </w:rPr>
        <w:t>839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35D8">
        <w:rPr>
          <w:rFonts w:ascii="Times New Roman" w:hAnsi="Times New Roman" w:cs="Times New Roman"/>
          <w:sz w:val="24"/>
          <w:szCs w:val="24"/>
        </w:rPr>
        <w:t>727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735D8">
        <w:rPr>
          <w:rFonts w:ascii="Times New Roman" w:hAnsi="Times New Roman" w:cs="Times New Roman"/>
          <w:sz w:val="24"/>
          <w:szCs w:val="24"/>
        </w:rPr>
        <w:t>83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 КМ а учешће грађана обезбијеђено </w:t>
      </w:r>
      <w:r w:rsidR="00E735D8">
        <w:rPr>
          <w:rFonts w:ascii="Times New Roman" w:hAnsi="Times New Roman" w:cs="Times New Roman"/>
          <w:sz w:val="24"/>
          <w:szCs w:val="24"/>
        </w:rPr>
        <w:t>359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735D8">
        <w:rPr>
          <w:rFonts w:ascii="Times New Roman" w:hAnsi="Times New Roman" w:cs="Times New Roman"/>
          <w:sz w:val="24"/>
          <w:szCs w:val="24"/>
        </w:rPr>
        <w:t>883</w:t>
      </w:r>
      <w:r w:rsidR="00E735D8">
        <w:rPr>
          <w:rFonts w:ascii="Times New Roman" w:hAnsi="Times New Roman" w:cs="Times New Roman"/>
          <w:sz w:val="24"/>
          <w:szCs w:val="24"/>
          <w:lang w:val="sr-Cyrl-BA"/>
        </w:rPr>
        <w:t>,3</w:t>
      </w:r>
      <w:r w:rsidR="00E735D8">
        <w:rPr>
          <w:rFonts w:ascii="Times New Roman" w:hAnsi="Times New Roman" w:cs="Times New Roman"/>
          <w:sz w:val="24"/>
          <w:szCs w:val="24"/>
        </w:rPr>
        <w:t>5</w:t>
      </w:r>
      <w:r w:rsidR="00E735D8" w:rsidRPr="00CD79BC">
        <w:rPr>
          <w:rFonts w:ascii="Times New Roman" w:hAnsi="Times New Roman" w:cs="Times New Roman"/>
          <w:sz w:val="24"/>
          <w:szCs w:val="24"/>
          <w:lang w:val="sr-Cyrl-BA"/>
        </w:rPr>
        <w:t xml:space="preserve"> КМ. У сљедећим табелама приказан је преглед извршених радова (дужина, вриједност изведених радова, учешће града, учешће екстерних извора финансирања).</w:t>
      </w:r>
    </w:p>
    <w:p w:rsidR="00E735D8" w:rsidRDefault="00E735D8" w:rsidP="00E735D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5D8" w:rsidRPr="00274945" w:rsidRDefault="00E735D8" w:rsidP="00E735D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10"/>
        <w:gridCol w:w="2900"/>
        <w:gridCol w:w="993"/>
        <w:gridCol w:w="2002"/>
        <w:gridCol w:w="1206"/>
        <w:gridCol w:w="1531"/>
      </w:tblGrid>
      <w:tr w:rsidR="00E735D8" w:rsidRPr="00B62E8D" w:rsidTr="009F0B1C">
        <w:tc>
          <w:tcPr>
            <w:tcW w:w="610" w:type="dxa"/>
            <w:shd w:val="clear" w:color="auto" w:fill="F2F2F2" w:themeFill="background1" w:themeFillShade="F2"/>
          </w:tcPr>
          <w:p w:rsidR="00E735D8" w:rsidRPr="00220044" w:rsidRDefault="00E735D8" w:rsidP="009F0B1C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Ред.</w:t>
            </w:r>
          </w:p>
          <w:p w:rsidR="00E735D8" w:rsidRPr="00220044" w:rsidRDefault="00E735D8" w:rsidP="009F0B1C">
            <w:pPr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2900" w:type="dxa"/>
            <w:shd w:val="clear" w:color="auto" w:fill="F2F2F2" w:themeFill="background1" w:themeFillShade="F2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ОПИС ПОСЛА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Дужина</w:t>
            </w: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(м¹)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Вриједност радова</w:t>
            </w: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(КМ)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E735D8" w:rsidRPr="00A33A63" w:rsidRDefault="00E735D8" w:rsidP="009F0B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A63">
              <w:rPr>
                <w:rFonts w:ascii="Arial" w:hAnsi="Arial" w:cs="Arial"/>
                <w:sz w:val="18"/>
                <w:szCs w:val="18"/>
              </w:rPr>
              <w:t>Учешће СО Бијељина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Учешће Грађана/МЗ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Асфалтирање Бањалучке улице (два крака), укупне дужине 200,00 м1 (крак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1:160,00 м1 и крак 2:40,00 м1)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34,984.64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24,489.25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10,495.39</w:t>
            </w:r>
          </w:p>
        </w:tc>
      </w:tr>
      <w:tr w:rsidR="00E735D8" w:rsidRPr="00B62E8D" w:rsidTr="009F0B1C">
        <w:trPr>
          <w:trHeight w:val="1025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 xml:space="preserve">2. </w:t>
            </w:r>
          </w:p>
        </w:tc>
        <w:tc>
          <w:tcPr>
            <w:tcW w:w="2900" w:type="dxa"/>
            <w:vAlign w:val="center"/>
          </w:tcPr>
          <w:p w:rsidR="00E735D8" w:rsidRPr="001C5059" w:rsidRDefault="00E735D8" w:rsidP="009F0B1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5059">
              <w:rPr>
                <w:rFonts w:ascii="Arial" w:hAnsi="Arial" w:cs="Arial"/>
                <w:color w:val="000000"/>
                <w:sz w:val="18"/>
                <w:szCs w:val="18"/>
              </w:rPr>
              <w:t>Асфалтирање некатегорисаног пута у МЗ "Буковица Доња" заселак Јевтићи, укупне дужине 300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42,479.19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29,735.43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12,743.76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"Суво поље" дужине 1235,00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123,712.41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86,598.69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37,113.72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Суво поље-заселак Савићи-Тешићи дужине 1300,00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137,884.50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96,519.15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41,365.35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"Главичице" дужине 292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26,999.11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18,899.38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8,099.73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"Хасе" дужине 152,00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25,969.23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18,178.46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7,790.77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7.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"Батковић" дужине 250 м1 (крак 1:100 м1 и крак 2:150 м1)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27,936.32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19,555.42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8,380.90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8.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"Пучиле" дужине 145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19,977.17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13,984.02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5,993.15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9.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дијела улице Толстојева дужине 40 м1 (дионица поред породичних објеката број: 30 и 32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5,995.55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4,196.88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1,798.66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E735D8" w:rsidRPr="00220044" w:rsidRDefault="00E735D8" w:rsidP="009F0B1C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20044">
              <w:rPr>
                <w:rFonts w:ascii="Times New Roman" w:hAnsi="Times New Roman" w:cs="Times New Roman"/>
                <w:lang w:val="sr-Cyrl-BA"/>
              </w:rPr>
              <w:t>10.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"Средњи Драгаљевац", дужине 980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99,993.11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69,995.18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29,997.93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Pr="00BC7806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"Црњелово Горње - Греде"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28,945.80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20,262.06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8,683.74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Pr="00BC7806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улица у Новом насељу Јања, укупне дужине 2000,00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Pr="00BC7806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некатегорисаног пута у МЗ Љесковац дужине 140,00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Pr="00BC7806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Асфалтирање дијела Гетеове улице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три крака некатегорисаног пута у МЗ Пучиле укупне дужине 355,00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38,758.94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27,131.26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11,627.68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 у МЗ Дворови, Улица мајевичких бригада кварт 34, дужине 280,00м1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42,669.43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29,868.60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12,800.83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дијела Војвођанске улице у Бијељини, дужине 235,00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42,694.11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29,885.88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12,808.23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Обарска Велика - заселак Митровићи, дужине 210,00м1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19,991.92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13,994.34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5,997.58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Обарска Велика - заселак Аничићи, дужине 205,00м1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19,193.28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13,435.30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5,757.98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Обарска Велика - заселак Топовски пут, дужине 135,00м1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12,995.22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9,096.65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3,898.57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Обарска Велика - заселак Огорелица, дужине 48,00м1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6,997.37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4,898.16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2,099.21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слијепог споредног одвојка Улице Галац у Бијељини, дужине 64,00м1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Ченгић - заселак Лучићи, укупне дужине 920,00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91,797.28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64,258.10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27,539.18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два крака некатегорисаног пута у МЗ Батковић, укупне дужине 89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10,998.37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7,698.86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3,299.51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два крака некатегорисаног пута у МЗ Драгаљевац Средњи, заселак Обрадово Брдо, укупне дужине 656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74,758.03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52,330.62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22,427.41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Попови, дужине 83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8,777.77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6,144.44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2,633.33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Мала Обарска, засеок Ђокићи-Божићи, дужине 708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72,582.96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50,808.07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21,774.89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Пучиле, дужине 228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21,695.53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15,186.87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6,508.66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Магнојевић Средњи, дужине 214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16,676.34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11,673.44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5,002.90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Нови Дворови, дужине 300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46,289.00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32,402.30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13,886.70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Рехабилитација некатегорисаног пута у МЗ Лединци (Гојсовац), дужине 135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18,292.13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12,804.49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5,487.64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Црњелово Доње, дужине 204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17,797.89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12,458.52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5,339.37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некатегорисаног пута у МЗ Бродац, дужине 316,00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39,974.71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27,982.30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11,992.41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слијепог споредног огранка Улице Галац поред броја 126, дужине 80,00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7,965.83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5,576.08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2,389.75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дијела Улице Јанка Веселилновића, дужине 60,00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6,967.35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4,877.15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2,090.21</w:t>
            </w:r>
          </w:p>
        </w:tc>
      </w:tr>
      <w:tr w:rsidR="00E735D8" w:rsidRPr="00B62E8D" w:rsidTr="009F0B1C">
        <w:trPr>
          <w:trHeight w:val="760"/>
        </w:trPr>
        <w:tc>
          <w:tcPr>
            <w:tcW w:w="610" w:type="dxa"/>
          </w:tcPr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735D8" w:rsidRDefault="00E735D8" w:rsidP="009F0B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36.</w:t>
            </w:r>
          </w:p>
        </w:tc>
        <w:tc>
          <w:tcPr>
            <w:tcW w:w="2900" w:type="dxa"/>
            <w:vAlign w:val="center"/>
          </w:tcPr>
          <w:p w:rsidR="00E735D8" w:rsidRDefault="00E735D8" w:rsidP="009F0B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Асфалтирање дијела Улице Боре Станковића од броја 13 до броја 19, дужине 85,00 м1</w:t>
            </w:r>
          </w:p>
        </w:tc>
        <w:tc>
          <w:tcPr>
            <w:tcW w:w="993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85.00</w:t>
            </w:r>
          </w:p>
        </w:tc>
        <w:tc>
          <w:tcPr>
            <w:tcW w:w="2002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6,860.70</w:t>
            </w:r>
          </w:p>
        </w:tc>
        <w:tc>
          <w:tcPr>
            <w:tcW w:w="1206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4,802.49</w:t>
            </w:r>
          </w:p>
        </w:tc>
        <w:tc>
          <w:tcPr>
            <w:tcW w:w="1531" w:type="dxa"/>
            <w:vAlign w:val="center"/>
          </w:tcPr>
          <w:p w:rsidR="00E735D8" w:rsidRDefault="00E735D8" w:rsidP="009F0B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2,058.21</w:t>
            </w:r>
          </w:p>
        </w:tc>
      </w:tr>
    </w:tbl>
    <w:p w:rsidR="00E735D8" w:rsidRPr="00817BB5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5D8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735D8" w:rsidRDefault="00E735D8" w:rsidP="00E73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 не располаже средствима у буџету Града Бијељина, те утрошена средства за реализацију пројеката мјесних заједница евидентира Одјељење за стамбено-комуналне послове и заштиту животне средине. Током 20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BA"/>
        </w:rPr>
        <w:t>.године квалитетно и благовремено одрађени сви послови из надлежности Одсјека везани за мјесне заједнице, као и за потребе органа, установа и институција. Упоређивањем са предходном годином, података везаних за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Cyrl-BA"/>
        </w:rPr>
        <w:t>дсјек за послове мјесних заједница, може се констатовати да су резултати рада одсјека приближно исти. Реализовани пројекти проширења водоводних линија и асфалтирања су допринијели побољшању квалитета услова  живота и рада грађана, уједно су и задовољене исказане потребе становништва. Спољни утицаји на рад Одсјека за послове мјесних заједница, везани су за активност рада савјета мјесних заједница, као и финансијске могућности грађана за пројекте суфинансирања. Њихов утицај се огледа у укупном обиму послова Одсјека који им пружа стручну и администартивну помоћ.  Унутрашњи утицаји нису имали значај на рад Одсјека. Кључни резултати рада су у реализацији поднесака мјесних заједница, реализације дијела кандидованих пројеката и рјешавању питања за које је надлежна Градска управа Града Бијељина.</w:t>
      </w:r>
    </w:p>
    <w:p w:rsidR="006A4A15" w:rsidRDefault="006A4A15" w:rsidP="00E735D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A4A15" w:rsidRDefault="006A4A15" w:rsidP="00073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42E" w:rsidRPr="00986713" w:rsidRDefault="0007342E" w:rsidP="00073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Pr="00326BE5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Када су у питању објекти у мјесним заједнцама, њихово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614AF8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окупљања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93070D" w:rsidRPr="00B04447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објеката ткз. читаонице су у релативно солидном стању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 xml:space="preserve"> ,али је потребно редовно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одржавање.</w:t>
      </w:r>
    </w:p>
    <w:p w:rsidR="0093070D" w:rsidRDefault="0093070D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Домове културе у сеоским мјесним заједницама, користе мјесне заједнице, м</w:t>
      </w:r>
      <w:r>
        <w:rPr>
          <w:rFonts w:ascii="Times New Roman" w:hAnsi="Times New Roman" w:cs="Times New Roman"/>
          <w:sz w:val="24"/>
          <w:szCs w:val="24"/>
          <w:lang w:val="sr-Cyrl-BA"/>
        </w:rPr>
        <w:t>јесни фудба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л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</w:t>
      </w:r>
      <w:r>
        <w:rPr>
          <w:rFonts w:ascii="Times New Roman" w:hAnsi="Times New Roman" w:cs="Times New Roman"/>
          <w:sz w:val="24"/>
          <w:szCs w:val="24"/>
          <w:lang w:val="sr-Cyrl-BA"/>
        </w:rPr>
        <w:t>,Буковица Доња,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Бањица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:rsidR="0093070D" w:rsidRDefault="00B04447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за потребе својих активности, а стање тих објеката је углавном задовољавајуће. У предходном периоду се није улагало у поједине објекте те је потребно  да се у наредном периоду предвиде одређена новчана средства у буџету Града Бијељина, за најнужније санације односно одржавање. Просторије које нису потребне за рад мјесних заједница издате су у закуп, а так</w:t>
      </w:r>
      <w:r w:rsidR="00A944C1">
        <w:rPr>
          <w:rFonts w:ascii="Times New Roman" w:hAnsi="Times New Roman" w:cs="Times New Roman"/>
          <w:sz w:val="24"/>
          <w:szCs w:val="24"/>
        </w:rPr>
        <w:t>а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случ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ај је 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ној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заједниц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</w:t>
      </w:r>
      <w:r w:rsidR="00143186">
        <w:rPr>
          <w:rFonts w:ascii="Times New Roman" w:hAnsi="Times New Roman" w:cs="Times New Roman"/>
          <w:sz w:val="24"/>
          <w:szCs w:val="24"/>
          <w:lang w:val="sr-Cyrl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Мјесне заједнице „Вељко Лукић“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„15.Мајевичка“ немају објекте за рад Савјета</w:t>
      </w:r>
      <w:r w:rsidR="007258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Из тих разлога Градска управа Града Бијељи</w:t>
      </w:r>
      <w:r w:rsidR="0054775B">
        <w:rPr>
          <w:rFonts w:ascii="Times New Roman" w:hAnsi="Times New Roman" w:cs="Times New Roman"/>
          <w:sz w:val="24"/>
          <w:szCs w:val="24"/>
          <w:lang w:val="sr-Cyrl-BA"/>
        </w:rPr>
        <w:t xml:space="preserve">на, узела је у закуп просторије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наведене мјесне заједнице,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како би Савјети мјесних заједница имали услове за свој рад.</w:t>
      </w:r>
    </w:p>
    <w:p w:rsidR="00B04447" w:rsidRDefault="00B70B4C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Увиђајући потребу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реконструкциј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домова културе и уређења домова културе и читаоница по мјесним заједни</w:t>
      </w:r>
      <w:r w:rsidR="00D54F69">
        <w:rPr>
          <w:rFonts w:ascii="Times New Roman" w:hAnsi="Times New Roman" w:cs="Times New Roman"/>
          <w:sz w:val="24"/>
          <w:szCs w:val="24"/>
          <w:lang w:val="sr-Cyrl-BA"/>
        </w:rPr>
        <w:t>цама, извршена је санација објеката и просторија у следећим мјесним заједницама: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623875">
        <w:rPr>
          <w:rFonts w:ascii="Times New Roman" w:hAnsi="Times New Roman" w:cs="Times New Roman"/>
          <w:sz w:val="24"/>
          <w:szCs w:val="24"/>
        </w:rPr>
        <w:t>.</w:t>
      </w: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З. </w:t>
      </w:r>
      <w:r>
        <w:rPr>
          <w:rFonts w:ascii="Times New Roman" w:hAnsi="Times New Roman" w:cs="Times New Roman"/>
          <w:sz w:val="24"/>
          <w:szCs w:val="24"/>
          <w:lang w:val="sr-Cyrl-BA"/>
        </w:rPr>
        <w:t>Батковић</w:t>
      </w: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BA"/>
        </w:rPr>
        <w:t>израда водоводне инсталације на месјном гробљу</w:t>
      </w: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614AF8" w:rsidRPr="001033C6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Хасе – израд бетонског тротоара са пропусним цијевима,</w:t>
      </w:r>
    </w:p>
    <w:p w:rsidR="00614AF8" w:rsidRPr="000A231E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Којчиновац, М.З. Г.Црњелово, М.З. Д.Чађавица, М.З. Д.Црњелово, М.З. Главичорак – преглед, испитивање и поправка ел. инсталација,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Д. – набавка плочица и пратећег материјала,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„Вук Караџић“ – молерски радови,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Пучиле – адаптација крова и израда тротоара,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Којчиновац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прикључење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вјерског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мрежу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М.З. Црњелово Д.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прикључење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вјерског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мрежу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14AF8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набавка огрева,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Глоговац – изградња темеља објекта на мјесном гробљу,</w:t>
      </w:r>
    </w:p>
    <w:p w:rsidR="00614AF8" w:rsidRPr="00FA7922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Јоховац – набавка и уградња улазних врата у свлачионицама ФК,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Велино Село – прикључивање објекта на гробљу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прикључивање свлачионица ФК „Слога“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Балатун – постављање заштитне ограде на фудбалском стадиону,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„Вук Караџић“ – поправка видео надзора,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Балатун – санација крова на објекту,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Пиперци – реновирање просторија МЗ,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Љесковац – прикључивање објеката на водоводну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Суво Поље – асфалтирање паркинг простора испред дома културе,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М.З. Црњелово Д. – изградња надстрешнице на дому културе,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Велика Обарска – набавка и уградња столарије на објекту дома културе,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Батковић – опремање просторија објекта на гробљу,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Суво Поље – проширење паркинг простора,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поправка металне ограде и парапета,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Даздарево – адаптација унутрашњости објекта старе школе,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Вршани – санација дијела кровне конструкције и унутрашњости дома културе,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Бјелошевац – израда уличне расвјете као и реконструкција постојеће,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Д. – израда унутрашњости објекта на гробљу,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Хасе – изградња одвода вишка атмосферских падавина,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израда септичке јаме и прикључење санитарног чвора на септичку јаму у дому културе,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Дворови – проширење и уређење приступног пута и паркинга на мјесном гробљу,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Драгаљевац Д. – рушење и одвоз на депонију објекат старе школе,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„Лединци“ – набавка тракастих завјеса,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прикључење свлачионица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Велино Село – прикључење објекта на гробљу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Д. – прикључење објекта на гробљу (Грабовача)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Којчиновац - прикључење објекта на гробљу на НН мрежу,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Драгаљевац Д. – израда надстрешнице на гробљу,</w:t>
      </w:r>
    </w:p>
    <w:p w:rsidR="00614AF8" w:rsidRPr="00AA64FC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Црњелово Г. – изградња санитарног чвора,</w:t>
      </w:r>
    </w:p>
    <w:p w:rsidR="00614AF8" w:rsidRPr="00E97594" w:rsidRDefault="00614AF8" w:rsidP="00614A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М.З. Којчиновац – набавка моторне косилице (тример) за потребе МЗ,</w:t>
      </w:r>
    </w:p>
    <w:p w:rsidR="00A32596" w:rsidRDefault="00A32596" w:rsidP="00A325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2596" w:rsidRPr="00623875" w:rsidRDefault="00A32596" w:rsidP="00A3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Свим грађанима који су жељели да пријаве порез на непокретности, на обрасцима (ПФРН, ЗОПН, ЗУПО, ПВОН) извршена бесплатна услуга, од стране службеника Одсјека за послове мјесних  заједница.    </w:t>
      </w:r>
    </w:p>
    <w:p w:rsidR="00B04447" w:rsidRPr="00AC7B89" w:rsidRDefault="00B04447" w:rsidP="00AC7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D8E" w:rsidRPr="0093070D" w:rsidRDefault="005579BE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дства у буџету Града Бијељина, те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</w:t>
      </w:r>
      <w:r w:rsidR="009B7DA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ријеђе се одржавају саста</w:t>
      </w:r>
      <w:r w:rsidR="008604AC" w:rsidRPr="00326BE5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AC7B89" w:rsidRPr="0007342E" w:rsidRDefault="00AC7B89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E45FD0" w:rsidP="00E45FD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Информацију припремио</w:t>
      </w: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>Шеф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дсјека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__________________________</w:t>
      </w:r>
    </w:p>
    <w:p w:rsidR="00004D27" w:rsidRPr="00326BE5" w:rsidRDefault="00004D27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</w:t>
      </w:r>
      <w:r w:rsidR="006A45B6">
        <w:rPr>
          <w:rFonts w:ascii="Times New Roman" w:hAnsi="Times New Roman" w:cs="Times New Roman"/>
          <w:sz w:val="24"/>
          <w:szCs w:val="24"/>
          <w:lang w:val="sr-Cyrl-BA"/>
        </w:rPr>
        <w:t>Славиша Савић</w:t>
      </w: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073215" w:rsidRDefault="005553E4" w:rsidP="0055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553E4" w:rsidRPr="00073215" w:rsidSect="006B36C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6754C"/>
    <w:multiLevelType w:val="hybridMultilevel"/>
    <w:tmpl w:val="554482F6"/>
    <w:lvl w:ilvl="0" w:tplc="FFC01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4D27"/>
    <w:rsid w:val="000179C4"/>
    <w:rsid w:val="0004498D"/>
    <w:rsid w:val="00065BC1"/>
    <w:rsid w:val="00073215"/>
    <w:rsid w:val="0007342E"/>
    <w:rsid w:val="00094B80"/>
    <w:rsid w:val="00097091"/>
    <w:rsid w:val="000E6E89"/>
    <w:rsid w:val="000F191C"/>
    <w:rsid w:val="00115095"/>
    <w:rsid w:val="001237D9"/>
    <w:rsid w:val="00137665"/>
    <w:rsid w:val="00143186"/>
    <w:rsid w:val="001774CB"/>
    <w:rsid w:val="001B6E0D"/>
    <w:rsid w:val="001C7B02"/>
    <w:rsid w:val="001D314A"/>
    <w:rsid w:val="001E6C83"/>
    <w:rsid w:val="00217ADE"/>
    <w:rsid w:val="00222800"/>
    <w:rsid w:val="0024008E"/>
    <w:rsid w:val="00240506"/>
    <w:rsid w:val="00270892"/>
    <w:rsid w:val="00271417"/>
    <w:rsid w:val="00275051"/>
    <w:rsid w:val="002D2A3B"/>
    <w:rsid w:val="002D5492"/>
    <w:rsid w:val="002D5ABE"/>
    <w:rsid w:val="002F1B81"/>
    <w:rsid w:val="002F24DB"/>
    <w:rsid w:val="00326BE5"/>
    <w:rsid w:val="00336D9B"/>
    <w:rsid w:val="0038149F"/>
    <w:rsid w:val="00383DEE"/>
    <w:rsid w:val="0038416C"/>
    <w:rsid w:val="003A7E51"/>
    <w:rsid w:val="003B6024"/>
    <w:rsid w:val="003C4AA1"/>
    <w:rsid w:val="003D603C"/>
    <w:rsid w:val="003F43B3"/>
    <w:rsid w:val="0040643F"/>
    <w:rsid w:val="00406E41"/>
    <w:rsid w:val="00436361"/>
    <w:rsid w:val="00441DB5"/>
    <w:rsid w:val="00443387"/>
    <w:rsid w:val="00464A10"/>
    <w:rsid w:val="004A3B55"/>
    <w:rsid w:val="004A5118"/>
    <w:rsid w:val="004A7A21"/>
    <w:rsid w:val="004B32FE"/>
    <w:rsid w:val="004C04A9"/>
    <w:rsid w:val="004C4F07"/>
    <w:rsid w:val="004D32F7"/>
    <w:rsid w:val="004F55E6"/>
    <w:rsid w:val="00514CF0"/>
    <w:rsid w:val="005279D5"/>
    <w:rsid w:val="00537260"/>
    <w:rsid w:val="0054775B"/>
    <w:rsid w:val="0055102E"/>
    <w:rsid w:val="005533AB"/>
    <w:rsid w:val="005553E4"/>
    <w:rsid w:val="005579BE"/>
    <w:rsid w:val="005A5EF7"/>
    <w:rsid w:val="005B34CA"/>
    <w:rsid w:val="005B6AF3"/>
    <w:rsid w:val="005C37D1"/>
    <w:rsid w:val="005D547F"/>
    <w:rsid w:val="005E0897"/>
    <w:rsid w:val="005F3EF8"/>
    <w:rsid w:val="00607822"/>
    <w:rsid w:val="00610F84"/>
    <w:rsid w:val="00614AF8"/>
    <w:rsid w:val="006321AF"/>
    <w:rsid w:val="0064563E"/>
    <w:rsid w:val="00650FAA"/>
    <w:rsid w:val="006815DE"/>
    <w:rsid w:val="00682276"/>
    <w:rsid w:val="00682754"/>
    <w:rsid w:val="00690E18"/>
    <w:rsid w:val="006934E7"/>
    <w:rsid w:val="00693B1B"/>
    <w:rsid w:val="006A18F2"/>
    <w:rsid w:val="006A45B6"/>
    <w:rsid w:val="006A4A15"/>
    <w:rsid w:val="006B36CA"/>
    <w:rsid w:val="006C1519"/>
    <w:rsid w:val="006C1546"/>
    <w:rsid w:val="006C6E5B"/>
    <w:rsid w:val="006D5E65"/>
    <w:rsid w:val="006E39E4"/>
    <w:rsid w:val="006F5C70"/>
    <w:rsid w:val="006F64D3"/>
    <w:rsid w:val="00703488"/>
    <w:rsid w:val="0070436F"/>
    <w:rsid w:val="007066F9"/>
    <w:rsid w:val="0072587E"/>
    <w:rsid w:val="00735AF0"/>
    <w:rsid w:val="00740DDA"/>
    <w:rsid w:val="0076459B"/>
    <w:rsid w:val="00780957"/>
    <w:rsid w:val="00792B3F"/>
    <w:rsid w:val="007E5197"/>
    <w:rsid w:val="0083344E"/>
    <w:rsid w:val="0085013F"/>
    <w:rsid w:val="008604AC"/>
    <w:rsid w:val="008675C6"/>
    <w:rsid w:val="00875EDA"/>
    <w:rsid w:val="00883615"/>
    <w:rsid w:val="00890439"/>
    <w:rsid w:val="008B0DAF"/>
    <w:rsid w:val="008D1093"/>
    <w:rsid w:val="008D3105"/>
    <w:rsid w:val="008D41B2"/>
    <w:rsid w:val="00906561"/>
    <w:rsid w:val="00926647"/>
    <w:rsid w:val="0093070D"/>
    <w:rsid w:val="00932C85"/>
    <w:rsid w:val="00956282"/>
    <w:rsid w:val="00957FB8"/>
    <w:rsid w:val="0097126A"/>
    <w:rsid w:val="00971E14"/>
    <w:rsid w:val="00986713"/>
    <w:rsid w:val="009915BF"/>
    <w:rsid w:val="00991704"/>
    <w:rsid w:val="00993DFD"/>
    <w:rsid w:val="00994999"/>
    <w:rsid w:val="009A1718"/>
    <w:rsid w:val="009A2DE5"/>
    <w:rsid w:val="009A2DE6"/>
    <w:rsid w:val="009A309A"/>
    <w:rsid w:val="009B7DA2"/>
    <w:rsid w:val="009C52A1"/>
    <w:rsid w:val="009C607D"/>
    <w:rsid w:val="009E0C77"/>
    <w:rsid w:val="00A13F4C"/>
    <w:rsid w:val="00A208D7"/>
    <w:rsid w:val="00A32596"/>
    <w:rsid w:val="00A357AD"/>
    <w:rsid w:val="00A654B0"/>
    <w:rsid w:val="00A71ED6"/>
    <w:rsid w:val="00A81EA1"/>
    <w:rsid w:val="00A82596"/>
    <w:rsid w:val="00A944C1"/>
    <w:rsid w:val="00AA41EA"/>
    <w:rsid w:val="00AC724E"/>
    <w:rsid w:val="00AC7B89"/>
    <w:rsid w:val="00AE4A9E"/>
    <w:rsid w:val="00B01C74"/>
    <w:rsid w:val="00B04447"/>
    <w:rsid w:val="00B210DC"/>
    <w:rsid w:val="00B22D2B"/>
    <w:rsid w:val="00B31FFF"/>
    <w:rsid w:val="00B47962"/>
    <w:rsid w:val="00B53DE2"/>
    <w:rsid w:val="00B70B4C"/>
    <w:rsid w:val="00B82B0A"/>
    <w:rsid w:val="00B85531"/>
    <w:rsid w:val="00BA3BD3"/>
    <w:rsid w:val="00BA585B"/>
    <w:rsid w:val="00BC76C8"/>
    <w:rsid w:val="00BF0BCC"/>
    <w:rsid w:val="00C0193B"/>
    <w:rsid w:val="00C045C5"/>
    <w:rsid w:val="00C14526"/>
    <w:rsid w:val="00C408D8"/>
    <w:rsid w:val="00C41B7C"/>
    <w:rsid w:val="00C42431"/>
    <w:rsid w:val="00C60A2D"/>
    <w:rsid w:val="00C839BC"/>
    <w:rsid w:val="00CA3D64"/>
    <w:rsid w:val="00CB22BB"/>
    <w:rsid w:val="00CB3D89"/>
    <w:rsid w:val="00CB3D8E"/>
    <w:rsid w:val="00CC3DBF"/>
    <w:rsid w:val="00CD3D10"/>
    <w:rsid w:val="00CE2717"/>
    <w:rsid w:val="00CE2905"/>
    <w:rsid w:val="00CE546B"/>
    <w:rsid w:val="00CF090A"/>
    <w:rsid w:val="00D06A59"/>
    <w:rsid w:val="00D36BCA"/>
    <w:rsid w:val="00D54A5F"/>
    <w:rsid w:val="00D54F69"/>
    <w:rsid w:val="00D66397"/>
    <w:rsid w:val="00D75916"/>
    <w:rsid w:val="00DE2F84"/>
    <w:rsid w:val="00DF1DA0"/>
    <w:rsid w:val="00DF238B"/>
    <w:rsid w:val="00E00EBC"/>
    <w:rsid w:val="00E01CFE"/>
    <w:rsid w:val="00E030C6"/>
    <w:rsid w:val="00E1300E"/>
    <w:rsid w:val="00E15C4F"/>
    <w:rsid w:val="00E45FD0"/>
    <w:rsid w:val="00E62F24"/>
    <w:rsid w:val="00E72096"/>
    <w:rsid w:val="00E735D8"/>
    <w:rsid w:val="00E77E9F"/>
    <w:rsid w:val="00E92793"/>
    <w:rsid w:val="00EA1F63"/>
    <w:rsid w:val="00EA45A8"/>
    <w:rsid w:val="00EB282C"/>
    <w:rsid w:val="00EC7E8D"/>
    <w:rsid w:val="00EE2F0E"/>
    <w:rsid w:val="00EE6FC0"/>
    <w:rsid w:val="00EF3BEA"/>
    <w:rsid w:val="00F069AC"/>
    <w:rsid w:val="00F07279"/>
    <w:rsid w:val="00F159B1"/>
    <w:rsid w:val="00F27E30"/>
    <w:rsid w:val="00F470A8"/>
    <w:rsid w:val="00F82A6F"/>
    <w:rsid w:val="00FB4405"/>
    <w:rsid w:val="00FE656B"/>
    <w:rsid w:val="00FF02BD"/>
    <w:rsid w:val="00FF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  <w:style w:type="table" w:styleId="TableGrid">
    <w:name w:val="Table Grid"/>
    <w:basedOn w:val="TableNormal"/>
    <w:uiPriority w:val="59"/>
    <w:rsid w:val="006B36C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D806-4F62-4D06-8EA3-73CECD6C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pnovakovic</dc:creator>
  <cp:lastModifiedBy>dlazic</cp:lastModifiedBy>
  <cp:revision>3</cp:revision>
  <cp:lastPrinted>2021-02-16T09:36:00Z</cp:lastPrinted>
  <dcterms:created xsi:type="dcterms:W3CDTF">2021-02-16T12:06:00Z</dcterms:created>
  <dcterms:modified xsi:type="dcterms:W3CDTF">2021-02-16T12:12:00Z</dcterms:modified>
</cp:coreProperties>
</file>