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5B6" w:rsidRPr="005665EE" w:rsidRDefault="006A45B6" w:rsidP="006A45B6">
      <w:pPr>
        <w:spacing w:before="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i/>
          <w:iCs/>
          <w:noProof/>
        </w:rPr>
        <w:drawing>
          <wp:inline distT="0" distB="0" distL="0" distR="0">
            <wp:extent cx="895350" cy="1028700"/>
            <wp:effectExtent l="19050" t="0" r="0" b="0"/>
            <wp:docPr id="1" name="Picture 1" descr="Grb_Veliki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_Te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FB273E" w:rsidRDefault="006A45B6" w:rsidP="006A45B6">
      <w:pPr>
        <w:spacing w:before="60"/>
        <w:jc w:val="center"/>
        <w:rPr>
          <w:rFonts w:ascii="Arial" w:hAnsi="Arial" w:cs="Arial"/>
          <w:b/>
          <w:bCs/>
          <w:color w:val="FF0000"/>
          <w:sz w:val="40"/>
          <w:szCs w:val="40"/>
          <w:lang w:val="sr-Cyrl-BA"/>
        </w:rPr>
      </w:pPr>
      <w:r w:rsidRPr="00FB273E"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>ГРАД БИЈЕЉИНА</w:t>
      </w: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CS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CS"/>
        </w:rPr>
      </w:pPr>
    </w:p>
    <w:p w:rsidR="006A45B6" w:rsidRPr="0045774D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CS"/>
        </w:rPr>
      </w:pPr>
    </w:p>
    <w:p w:rsidR="006A45B6" w:rsidRPr="005F3483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BA"/>
        </w:rPr>
      </w:pPr>
      <w:r>
        <w:rPr>
          <w:rFonts w:ascii="Arial" w:hAnsi="Arial" w:cs="Arial"/>
          <w:b/>
          <w:bCs/>
          <w:sz w:val="40"/>
          <w:szCs w:val="40"/>
          <w:lang w:val="sr-Cyrl-BA"/>
        </w:rPr>
        <w:t xml:space="preserve">                             </w:t>
      </w:r>
    </w:p>
    <w:p w:rsidR="006A45B6" w:rsidRPr="00FB273E" w:rsidRDefault="006A45B6" w:rsidP="00B53DE2">
      <w:pPr>
        <w:spacing w:before="60"/>
        <w:jc w:val="center"/>
        <w:rPr>
          <w:rFonts w:ascii="Arial" w:hAnsi="Arial" w:cs="Arial"/>
          <w:b/>
          <w:bCs/>
          <w:color w:val="244061"/>
          <w:sz w:val="40"/>
          <w:szCs w:val="40"/>
          <w:lang w:val="sr-Cyrl-BA"/>
        </w:rPr>
      </w:pPr>
      <w:r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>ИНФОРМАЦИЈ</w:t>
      </w:r>
      <w:r w:rsidR="00E00EBC">
        <w:rPr>
          <w:rFonts w:ascii="Arial" w:hAnsi="Arial" w:cs="Arial"/>
          <w:b/>
          <w:bCs/>
          <w:color w:val="244061"/>
          <w:sz w:val="40"/>
          <w:szCs w:val="40"/>
        </w:rPr>
        <w:t>A</w:t>
      </w:r>
      <w:r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 xml:space="preserve"> О РАДУ</w:t>
      </w:r>
    </w:p>
    <w:p w:rsidR="006A45B6" w:rsidRPr="005665EE" w:rsidRDefault="006A45B6" w:rsidP="00B53DE2">
      <w:pPr>
        <w:spacing w:before="60"/>
        <w:jc w:val="center"/>
        <w:rPr>
          <w:rFonts w:ascii="Arial" w:hAnsi="Arial" w:cs="Arial"/>
          <w:b/>
          <w:bCs/>
          <w:color w:val="244061"/>
          <w:sz w:val="40"/>
          <w:szCs w:val="40"/>
          <w:lang w:val="sr-Cyrl-CS"/>
        </w:rPr>
      </w:pPr>
      <w:r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>МЈЕСНИХ ЗАЈЕДНИЦА</w:t>
      </w: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bs-Latn-BA"/>
        </w:rPr>
      </w:pPr>
    </w:p>
    <w:p w:rsidR="00693B1B" w:rsidRDefault="00693B1B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bs-Latn-BA"/>
        </w:rPr>
      </w:pPr>
    </w:p>
    <w:p w:rsidR="00693B1B" w:rsidRPr="00693B1B" w:rsidRDefault="00693B1B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bs-Latn-BA"/>
        </w:rPr>
      </w:pP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5665EE" w:rsidRDefault="006A45B6" w:rsidP="006A45B6">
      <w:pPr>
        <w:spacing w:before="60"/>
        <w:jc w:val="center"/>
        <w:rPr>
          <w:rFonts w:ascii="Arial" w:hAnsi="Arial" w:cs="Arial"/>
          <w:b/>
          <w:bCs/>
          <w:color w:val="345A8A"/>
          <w:sz w:val="32"/>
          <w:szCs w:val="32"/>
          <w:lang w:val="sr-Cyrl-BA"/>
        </w:rPr>
      </w:pPr>
      <w:r>
        <w:rPr>
          <w:rFonts w:ascii="Arial" w:hAnsi="Arial" w:cs="Arial"/>
          <w:b/>
          <w:bCs/>
          <w:color w:val="345A8A"/>
          <w:sz w:val="32"/>
          <w:szCs w:val="32"/>
          <w:lang w:val="sr-Cyrl-BA"/>
        </w:rPr>
        <w:t>Бијељина,</w:t>
      </w:r>
      <w:r w:rsidR="006D5E65">
        <w:rPr>
          <w:rFonts w:ascii="Arial" w:hAnsi="Arial" w:cs="Arial"/>
          <w:b/>
          <w:bCs/>
          <w:color w:val="345A8A"/>
          <w:sz w:val="32"/>
          <w:szCs w:val="32"/>
          <w:lang w:val="sr-Cyrl-BA"/>
        </w:rPr>
        <w:t xml:space="preserve"> 20</w:t>
      </w:r>
      <w:proofErr w:type="spellStart"/>
      <w:r w:rsidR="006D5E65">
        <w:rPr>
          <w:rFonts w:ascii="Arial" w:hAnsi="Arial" w:cs="Arial"/>
          <w:b/>
          <w:bCs/>
          <w:color w:val="345A8A"/>
          <w:sz w:val="32"/>
          <w:szCs w:val="32"/>
        </w:rPr>
        <w:t>20</w:t>
      </w:r>
      <w:proofErr w:type="spellEnd"/>
      <w:r w:rsidRPr="005665EE">
        <w:rPr>
          <w:rFonts w:ascii="Arial" w:hAnsi="Arial" w:cs="Arial"/>
          <w:b/>
          <w:bCs/>
          <w:color w:val="345A8A"/>
          <w:sz w:val="32"/>
          <w:szCs w:val="32"/>
          <w:lang w:val="sr-Cyrl-BA"/>
        </w:rPr>
        <w:t>. година</w:t>
      </w:r>
    </w:p>
    <w:p w:rsidR="00B53DE2" w:rsidRPr="00B53DE2" w:rsidRDefault="00B53DE2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1E6C83" w:rsidRPr="00326BE5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326BE5">
        <w:rPr>
          <w:rFonts w:ascii="Times New Roman" w:hAnsi="Times New Roman" w:cs="Times New Roman"/>
          <w:b/>
          <w:sz w:val="28"/>
          <w:szCs w:val="28"/>
          <w:lang w:val="sr-Cyrl-BA"/>
        </w:rPr>
        <w:lastRenderedPageBreak/>
        <w:t>ИНФОРМАЦИЈА</w:t>
      </w:r>
    </w:p>
    <w:p w:rsidR="001E6C83" w:rsidRPr="00326BE5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b/>
          <w:sz w:val="24"/>
          <w:szCs w:val="24"/>
          <w:lang w:val="sr-Cyrl-BA"/>
        </w:rPr>
        <w:t>О РАДУ МЈЕСНИХ ЗАЈЕДНИЦА И О СТАЊУ И КОРИШЋЕЊУ ОБЈЕКАТА МЈЕСНИХ ЗАЈЕДНИЦА НА ПОДРУЧЈУ ГРАДА БИЈЕЉИНА</w:t>
      </w: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Према програму рада Скупштине Града Бијељина </w:t>
      </w:r>
    </w:p>
    <w:p w:rsidR="001E6C83" w:rsidRPr="00326BE5" w:rsidRDefault="00073215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6D5E65">
        <w:rPr>
          <w:rFonts w:ascii="Times New Roman" w:hAnsi="Times New Roman" w:cs="Times New Roman"/>
          <w:sz w:val="24"/>
          <w:szCs w:val="24"/>
          <w:lang w:val="sr-Cyrl-BA"/>
        </w:rPr>
        <w:t xml:space="preserve"> 2020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предвиђена је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675C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информација  </w:t>
      </w:r>
    </w:p>
    <w:p w:rsidR="008675C6" w:rsidRPr="00326BE5" w:rsidRDefault="008675C6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 раду</w:t>
      </w:r>
      <w:r w:rsidR="00D66397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 w:rsidRPr="00326BE5">
        <w:rPr>
          <w:rFonts w:ascii="Times New Roman" w:hAnsi="Times New Roman" w:cs="Times New Roman"/>
          <w:sz w:val="24"/>
          <w:szCs w:val="24"/>
        </w:rPr>
        <w:t>мјесних</w:t>
      </w:r>
      <w:proofErr w:type="spellEnd"/>
      <w:r w:rsidR="00D66397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 w:rsidRPr="00326BE5"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о стању и коришћењу објеката </w:t>
      </w:r>
    </w:p>
    <w:p w:rsidR="00073215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мјесних заједница на подручју Града Бијељина</w:t>
      </w:r>
      <w:r w:rsidR="0007321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8675C6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Pr="00326BE5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E6C83" w:rsidRPr="00326BE5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  <w:t>Информација о раду мјесних заједница и о стању и кори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>шћењу објеката мјесних заједница на подручју Града Бијељина, обухватиће све оне активности и послове из дјелокруга надлежности мјесних заједница на подручју Града Бије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љина, који су реализовани</w:t>
      </w:r>
      <w:r w:rsidR="0038416C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 201</w:t>
      </w:r>
      <w:r w:rsidR="006D5E65">
        <w:rPr>
          <w:rFonts w:ascii="Times New Roman" w:hAnsi="Times New Roman" w:cs="Times New Roman"/>
          <w:sz w:val="24"/>
          <w:szCs w:val="24"/>
          <w:lang w:val="bs-Cyrl-BA"/>
        </w:rPr>
        <w:t>9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>. години. На подр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учју Града Бијељина егзистира 70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мјесних заједница о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 xml:space="preserve">д којих је 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13.</w:t>
      </w:r>
      <w:r w:rsidR="00CA3D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A3D64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подручју насељеног мјеста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Бијељина, п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реостале мјесне заједнице њих 57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су на руралном подручју Града Бијељина. Сеоске мјесне заједнице највећу пажњу и активности испољавају на изградњи и одржавању комуналне инфраструктуре. Када је у питању комунална инфраструктура мјесне заједнице, свака према својим потребама и стању на терену жели да ријеши питање путне мреже, водоводне мреже, ниско-напонске мреже, јавне расвјете, школских и спортских објеката, објеката које користе мјесне заједнице, проширења мјесних гробаља , као и других питања од заначаја и интереса за грађане у мјесним заједницама. </w:t>
      </w:r>
    </w:p>
    <w:p w:rsidR="00B85531" w:rsidRPr="00326BE5" w:rsidRDefault="00B85531" w:rsidP="001E6C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Потешкоће 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у сеоским мјесним заједницама, када су у питању некатегорисани путеви, односе се на њихво одржавање, заштиту од узурпације, затрпавања путних јарака или њиховог неодржавања, 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појава зарастања 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растиња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живице уз некатегорисане путе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>ве, кој</w:t>
      </w:r>
      <w:r w:rsidR="00CE546B">
        <w:rPr>
          <w:rFonts w:ascii="Times New Roman" w:hAnsi="Times New Roman" w:cs="Times New Roman"/>
          <w:sz w:val="24"/>
          <w:szCs w:val="24"/>
        </w:rPr>
        <w:t>a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 xml:space="preserve"> је у профилу пута, те утиче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 xml:space="preserve"> да су путеви непрегледни </w:t>
      </w:r>
      <w:proofErr w:type="spellStart"/>
      <w:r w:rsidR="00CE546B">
        <w:rPr>
          <w:rFonts w:ascii="Times New Roman" w:hAnsi="Times New Roman" w:cs="Times New Roman"/>
          <w:sz w:val="24"/>
          <w:szCs w:val="24"/>
        </w:rPr>
        <w:t>чиме</w:t>
      </w:r>
      <w:proofErr w:type="spellEnd"/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е угрожена и сама безбједност учесника у саобраћају. За одржавање некатегорисаних путева потребно је предвидјети већи износ средстава у буџету Града Бијељина. У сарадњи са мјесним заједницама урадити програм одржавања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некатегорисаних путева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, минималних потребних количина шљунка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 њихово одржавање</w:t>
      </w:r>
      <w:r w:rsidR="004D32F7" w:rsidRPr="00326BE5">
        <w:rPr>
          <w:rFonts w:ascii="Times New Roman" w:hAnsi="Times New Roman" w:cs="Times New Roman"/>
          <w:sz w:val="24"/>
          <w:szCs w:val="24"/>
        </w:rPr>
        <w:t>,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B4405" w:rsidRPr="00326BE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FB4405" w:rsidRPr="00326B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B4405" w:rsidRPr="00326BE5">
        <w:rPr>
          <w:rFonts w:ascii="Times New Roman" w:hAnsi="Times New Roman" w:cs="Times New Roman"/>
          <w:sz w:val="24"/>
          <w:szCs w:val="24"/>
        </w:rPr>
        <w:t>одредити</w:t>
      </w:r>
      <w:proofErr w:type="spellEnd"/>
      <w:r w:rsidR="00FB440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некатегорисане </w:t>
      </w:r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путне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правце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FB4405" w:rsidRPr="00326BE5">
        <w:rPr>
          <w:rFonts w:ascii="Times New Roman" w:hAnsi="Times New Roman" w:cs="Times New Roman"/>
          <w:sz w:val="24"/>
          <w:szCs w:val="24"/>
        </w:rPr>
        <w:t xml:space="preserve"> о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>д значаја за мјесне заједнице. Потребно је да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се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уочене појаве ефикасно и благовремено рјешавају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 стране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надлежни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х органа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A3B55"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посебно питање узурпације путева,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сас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>јецања живице и растиња, заштите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путних јарака од затрпавања,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а тиме би практично и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њихово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одржавање изискивало мање новчаних средстава.</w:t>
      </w:r>
    </w:p>
    <w:p w:rsidR="009C607D" w:rsidRPr="00326BE5" w:rsidRDefault="00FB4405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  <w:t>Наставити са праксом суфинансирања пошљунчавања некатегорисаних путева уз учешће грађана, у складу са могућностима буџета Града Бијељина.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Када су у питању сеоске мјесне заједнице, треба истаћи питање 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управљање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мјесним гробљима</w:t>
      </w:r>
      <w:r w:rsidR="00270892" w:rsidRPr="00326BE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Скупшт</w:t>
      </w:r>
      <w:r w:rsidR="006934E7" w:rsidRPr="00326BE5">
        <w:rPr>
          <w:rFonts w:ascii="Times New Roman" w:hAnsi="Times New Roman" w:cs="Times New Roman"/>
          <w:sz w:val="24"/>
          <w:szCs w:val="24"/>
          <w:lang w:val="sr-Cyrl-BA"/>
        </w:rPr>
        <w:t>ина Града Бијељина донијела је О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длуку о оснивању ЈКП „Градско гробље“ које би управљало  гробљима</w:t>
      </w:r>
      <w:r w:rsidR="000F191C">
        <w:rPr>
          <w:rFonts w:ascii="Times New Roman" w:hAnsi="Times New Roman" w:cs="Times New Roman"/>
          <w:sz w:val="24"/>
          <w:szCs w:val="24"/>
          <w:lang w:val="bs-Latn-BA"/>
        </w:rPr>
        <w:t>. Парцелама које су у власништву Града Бијељина, а које је преузело један мањи број мјесних гробаља на управљање и одржавање, и које би требало преузети и остала мјесна гробља у сеоским мјесним заједницама јер је стање у мјесним гробљима у већини случајева потпуно неуређено а по закону о гробљима и погребној дјелатности (</w:t>
      </w:r>
      <w:r w:rsidR="000F191C">
        <w:rPr>
          <w:rFonts w:ascii="Times New Roman" w:hAnsi="Times New Roman" w:cs="Times New Roman"/>
          <w:sz w:val="24"/>
          <w:szCs w:val="24"/>
          <w:lang w:val="bs-Cyrl-BA"/>
        </w:rPr>
        <w:t>„Службени гласник Републике Српске“ број: 31/13</w:t>
      </w:r>
      <w:r w:rsidR="000F191C">
        <w:rPr>
          <w:rFonts w:ascii="Times New Roman" w:hAnsi="Times New Roman" w:cs="Times New Roman"/>
          <w:sz w:val="24"/>
          <w:szCs w:val="24"/>
          <w:lang w:val="bs-Latn-BA"/>
        </w:rPr>
        <w:t>)</w:t>
      </w:r>
      <w:r w:rsidR="000F191C">
        <w:rPr>
          <w:rFonts w:ascii="Times New Roman" w:hAnsi="Times New Roman" w:cs="Times New Roman"/>
          <w:sz w:val="24"/>
          <w:szCs w:val="24"/>
          <w:lang w:val="bs-Cyrl-BA"/>
        </w:rPr>
        <w:t>. Мјесне заједнице немају никакву надлежност везано за управљање и одржавање гробаља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F19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Поједине мјесне заједнице имају потребу рјешавања проширења постојећих мјесних гробаља, такви случајеви су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 мјесним 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заједницама: Обријеж, с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ахрањују се умрла лица из Јохов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>ца и Обријежи, Бродац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, Поп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>ови, насељено мјесто Тријешница и Глоговац.</w:t>
      </w:r>
    </w:p>
    <w:p w:rsidR="006A4A15" w:rsidRDefault="00270892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934E7" w:rsidRPr="00326BE5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1E6C83" w:rsidRPr="00326BE5" w:rsidRDefault="00E62F24" w:rsidP="006A4A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4A7A21" w:rsidRPr="00326BE5">
        <w:rPr>
          <w:rFonts w:ascii="Times New Roman" w:hAnsi="Times New Roman" w:cs="Times New Roman"/>
          <w:sz w:val="24"/>
          <w:szCs w:val="24"/>
          <w:lang w:val="sr-Cyrl-BA"/>
        </w:rPr>
        <w:t>а подручју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сеоских мјесних заједница присутна је појава стварања дивљих депонија комуналног отпада, што повремено изазива потребу њиховог санирања</w:t>
      </w:r>
      <w:r w:rsidR="00C0193B" w:rsidRPr="00326BE5">
        <w:rPr>
          <w:rFonts w:ascii="Times New Roman" w:hAnsi="Times New Roman" w:cs="Times New Roman"/>
          <w:sz w:val="24"/>
          <w:szCs w:val="24"/>
          <w:lang w:val="sr-Cyrl-BA"/>
        </w:rPr>
        <w:t>, као и спречавање настанка</w:t>
      </w:r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различитим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локалитетима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F82A6F" w:rsidRPr="00326BE5">
        <w:rPr>
          <w:rFonts w:ascii="Times New Roman" w:hAnsi="Times New Roman" w:cs="Times New Roman"/>
          <w:sz w:val="24"/>
          <w:szCs w:val="24"/>
        </w:rPr>
        <w:t>Уочљиво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најчешћи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локалитети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депонија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везан</w:t>
      </w:r>
      <w:r w:rsidR="009A2DE5" w:rsidRPr="00326BE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E5" w:rsidRPr="00326BE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E5" w:rsidRPr="00326BE5">
        <w:rPr>
          <w:rFonts w:ascii="Times New Roman" w:hAnsi="Times New Roman" w:cs="Times New Roman"/>
          <w:sz w:val="24"/>
          <w:szCs w:val="24"/>
        </w:rPr>
        <w:t>нап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у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штене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шљункаре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водото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токе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 w:rsidRPr="00326BE5">
        <w:rPr>
          <w:rFonts w:ascii="Times New Roman" w:hAnsi="Times New Roman" w:cs="Times New Roman"/>
          <w:sz w:val="24"/>
          <w:szCs w:val="24"/>
        </w:rPr>
        <w:t>(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канали</w:t>
      </w:r>
      <w:r w:rsidR="00F82A6F" w:rsidRPr="00326BE5">
        <w:rPr>
          <w:rFonts w:ascii="Times New Roman" w:hAnsi="Times New Roman" w:cs="Times New Roman"/>
          <w:sz w:val="24"/>
          <w:szCs w:val="24"/>
        </w:rPr>
        <w:t>)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, као и гомиле у путним јарцима, или неким другим површинама.</w:t>
      </w:r>
      <w:proofErr w:type="gramEnd"/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 све мјесне заједнице постоји организовани одвоз комуналног одпада, али се наведени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проблем јавља као последица неодговорног понашања дијела мјештана, који 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 xml:space="preserve">вјероватно 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немају закључен уговор са даваоцем комуналне услуге, нити ту услугу плаћају, већ комунални одпад одлажу на недозвољена мјеста ил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>и га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>овремено уништавају, тако што га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спаљују.</w:t>
      </w:r>
    </w:p>
    <w:p w:rsidR="00D36BCA" w:rsidRPr="00D36BCA" w:rsidRDefault="00D36BCA" w:rsidP="006F5C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A4A15" w:rsidRDefault="006A4A15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115095" w:rsidRDefault="00D36BCA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Преглед реализованих пројеката изградње водоводних линија у 201</w:t>
      </w:r>
      <w:r w:rsidR="006D5E65">
        <w:rPr>
          <w:rFonts w:ascii="Times New Roman" w:hAnsi="Times New Roman" w:cs="Times New Roman"/>
          <w:sz w:val="24"/>
          <w:szCs w:val="24"/>
          <w:lang/>
        </w:rPr>
        <w:t>9</w:t>
      </w:r>
      <w:r>
        <w:rPr>
          <w:rFonts w:ascii="Times New Roman" w:hAnsi="Times New Roman" w:cs="Times New Roman"/>
          <w:sz w:val="24"/>
          <w:szCs w:val="24"/>
          <w:lang w:val="sr-Cyrl-BA"/>
        </w:rPr>
        <w:t>.г</w:t>
      </w:r>
    </w:p>
    <w:p w:rsidR="00EE2F0E" w:rsidRDefault="00EE2F0E" w:rsidP="00EE2F0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D5E65" w:rsidRPr="006C10E8" w:rsidRDefault="006D5E65" w:rsidP="006D5E6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C10E8">
        <w:rPr>
          <w:rFonts w:ascii="Times New Roman" w:hAnsi="Times New Roman" w:cs="Times New Roman"/>
          <w:sz w:val="24"/>
          <w:szCs w:val="24"/>
          <w:lang w:val="bs-Cyrl-BA"/>
        </w:rPr>
        <w:t>Програмом изградње комуналне инфраструктуре на територији Града Бијељина за 2019. годину за изградњу-проширење водоводних мрежа планирана су средства у износу од 178.906,32 КМ. У складу са Одлуком о поступку и кретеријумима за суфинансирање пројеката мјесних заједница на подручју Града Бијељина („Службени гласник Општине Бијељина“, број: 29/06, 16/08, 29/08, 24/11 и 21/12), Град учествује у суфинансирању изградње-проширења водоводних мрежа у износу од 80% а грађани 20%. У склопу реализације наведеног пројекта, у 2019. Години за изградњу-проширење водоводних мрежа на подручју Града Бијељина, потписано је укупно 20 уговора у вриједности од 177.031,26 КМ, од чега су 141.625,01 КМ средства из буџета Града Бијељина и 35.406,25 КМ средства мјесних заједница. Предметни уговори су реализовани, а укупна дужина новоизграђене водоводне мреже износи 2.055м.</w:t>
      </w:r>
    </w:p>
    <w:p w:rsidR="00906561" w:rsidRDefault="00906561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2F0E" w:rsidRPr="00EE2F0E" w:rsidRDefault="00EE2F0E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06561" w:rsidRDefault="00D36BCA" w:rsidP="00D36B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Преглед реализова</w:t>
      </w:r>
      <w:r w:rsidR="006B36CA">
        <w:rPr>
          <w:rFonts w:ascii="Times New Roman" w:hAnsi="Times New Roman" w:cs="Times New Roman"/>
          <w:sz w:val="24"/>
          <w:szCs w:val="24"/>
          <w:lang w:val="sr-Cyrl-BA"/>
        </w:rPr>
        <w:t>ни пројеката асфалтирања у 201</w:t>
      </w:r>
      <w:r w:rsidR="006D5E65">
        <w:rPr>
          <w:rFonts w:ascii="Times New Roman" w:hAnsi="Times New Roman" w:cs="Times New Roman"/>
          <w:sz w:val="24"/>
          <w:szCs w:val="24"/>
          <w:lang w:val="sr-Cyrl-BA"/>
        </w:rPr>
        <w:t>9.</w:t>
      </w:r>
      <w:r>
        <w:rPr>
          <w:rFonts w:ascii="Times New Roman" w:hAnsi="Times New Roman" w:cs="Times New Roman"/>
          <w:sz w:val="24"/>
          <w:szCs w:val="24"/>
          <w:lang w:val="sr-Cyrl-BA"/>
        </w:rPr>
        <w:t>години</w:t>
      </w:r>
    </w:p>
    <w:p w:rsidR="006D5E65" w:rsidRDefault="006D5E65" w:rsidP="00D36B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6D5E65" w:rsidRDefault="006D5E65" w:rsidP="006D5E6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CD79BC">
        <w:rPr>
          <w:rFonts w:ascii="Times New Roman" w:hAnsi="Times New Roman" w:cs="Times New Roman"/>
          <w:sz w:val="24"/>
          <w:szCs w:val="24"/>
          <w:lang w:val="sr-Cyrl-BA"/>
        </w:rPr>
        <w:t xml:space="preserve">Током </w:t>
      </w:r>
      <w:r>
        <w:rPr>
          <w:rFonts w:ascii="Times New Roman" w:hAnsi="Times New Roman" w:cs="Times New Roman"/>
          <w:sz w:val="24"/>
          <w:szCs w:val="24"/>
          <w:lang w:val="sr-Cyrl-BA"/>
        </w:rPr>
        <w:t>2019</w:t>
      </w:r>
      <w:r w:rsidRPr="00CD79BC">
        <w:rPr>
          <w:rFonts w:ascii="Times New Roman" w:hAnsi="Times New Roman" w:cs="Times New Roman"/>
          <w:sz w:val="24"/>
          <w:szCs w:val="24"/>
          <w:lang w:val="sr-Cyrl-BA"/>
        </w:rPr>
        <w:t>. године на подручју Града Бијељина извршена је изградња и асфалтирање локалних, некатегорисаних путева и градских улица у дужини од 5.958 метара. Укупна вриједност изведених радова износи 582.158,45 КМ, од чега је из буџета Града издвојено 446.254,12 КМ а учешће грађана обезбијеђено 134.904,33 КМ. У сљедећим табелама приказан је преглед извршених радова (дужина, вриједност изведених радова, учешће града, учешће екстерних извора финансирања).</w:t>
      </w:r>
    </w:p>
    <w:p w:rsidR="006D5E65" w:rsidRPr="00CD79BC" w:rsidRDefault="006D5E65" w:rsidP="006D5E6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D5E65" w:rsidRPr="00B62E8D" w:rsidRDefault="006D5E65" w:rsidP="006D5E65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tbl>
      <w:tblPr>
        <w:tblStyle w:val="TableGrid"/>
        <w:tblW w:w="0" w:type="auto"/>
        <w:tblLook w:val="04A0"/>
      </w:tblPr>
      <w:tblGrid>
        <w:gridCol w:w="610"/>
        <w:gridCol w:w="2900"/>
        <w:gridCol w:w="993"/>
        <w:gridCol w:w="2002"/>
        <w:gridCol w:w="1206"/>
        <w:gridCol w:w="1531"/>
      </w:tblGrid>
      <w:tr w:rsidR="006D5E65" w:rsidRPr="00B62E8D" w:rsidTr="00BE6153">
        <w:tc>
          <w:tcPr>
            <w:tcW w:w="610" w:type="dxa"/>
            <w:shd w:val="clear" w:color="auto" w:fill="F2F2F2" w:themeFill="background1" w:themeFillShade="F2"/>
          </w:tcPr>
          <w:p w:rsidR="006D5E65" w:rsidRPr="00220044" w:rsidRDefault="006D5E65" w:rsidP="00BE615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Ред.</w:t>
            </w:r>
          </w:p>
          <w:p w:rsidR="006D5E65" w:rsidRPr="00220044" w:rsidRDefault="006D5E65" w:rsidP="00BE615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број</w:t>
            </w:r>
          </w:p>
        </w:tc>
        <w:tc>
          <w:tcPr>
            <w:tcW w:w="2900" w:type="dxa"/>
            <w:shd w:val="clear" w:color="auto" w:fill="F2F2F2" w:themeFill="background1" w:themeFillShade="F2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ОПИС ПОСЛА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Дужина</w:t>
            </w: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(м¹)</w:t>
            </w:r>
          </w:p>
        </w:tc>
        <w:tc>
          <w:tcPr>
            <w:tcW w:w="2002" w:type="dxa"/>
            <w:shd w:val="clear" w:color="auto" w:fill="F2F2F2" w:themeFill="background1" w:themeFillShade="F2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Вриједност радова</w:t>
            </w: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(КМ)</w:t>
            </w:r>
          </w:p>
        </w:tc>
        <w:tc>
          <w:tcPr>
            <w:tcW w:w="1206" w:type="dxa"/>
            <w:shd w:val="clear" w:color="auto" w:fill="F2F2F2" w:themeFill="background1" w:themeFillShade="F2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Учешће Града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Учешће Грађана/МЗ</w:t>
            </w:r>
          </w:p>
        </w:tc>
      </w:tr>
      <w:tr w:rsidR="006D5E65" w:rsidRPr="00B62E8D" w:rsidTr="00BE6153">
        <w:trPr>
          <w:trHeight w:val="760"/>
        </w:trPr>
        <w:tc>
          <w:tcPr>
            <w:tcW w:w="61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1.</w:t>
            </w:r>
          </w:p>
        </w:tc>
        <w:tc>
          <w:tcPr>
            <w:tcW w:w="290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22004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Асфалтирање некатегорисаног пута у МЗ Градац</w:t>
            </w:r>
          </w:p>
        </w:tc>
        <w:tc>
          <w:tcPr>
            <w:tcW w:w="993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800</w:t>
            </w:r>
          </w:p>
        </w:tc>
        <w:tc>
          <w:tcPr>
            <w:tcW w:w="2002" w:type="dxa"/>
          </w:tcPr>
          <w:p w:rsidR="006D5E65" w:rsidRPr="00220044" w:rsidRDefault="006D5E65" w:rsidP="00BE615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68.351,40</w:t>
            </w:r>
          </w:p>
        </w:tc>
        <w:tc>
          <w:tcPr>
            <w:tcW w:w="1206" w:type="dxa"/>
          </w:tcPr>
          <w:p w:rsidR="006D5E65" w:rsidRPr="00220044" w:rsidRDefault="006D5E65" w:rsidP="00BE615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47.845.98</w:t>
            </w:r>
          </w:p>
        </w:tc>
        <w:tc>
          <w:tcPr>
            <w:tcW w:w="1531" w:type="dxa"/>
          </w:tcPr>
          <w:p w:rsidR="006D5E65" w:rsidRPr="00220044" w:rsidRDefault="006D5E65" w:rsidP="00BE615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20.505,42</w:t>
            </w:r>
          </w:p>
        </w:tc>
      </w:tr>
      <w:tr w:rsidR="006D5E65" w:rsidRPr="00B62E8D" w:rsidTr="00BE6153">
        <w:trPr>
          <w:trHeight w:val="760"/>
        </w:trPr>
        <w:tc>
          <w:tcPr>
            <w:tcW w:w="61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 xml:space="preserve">2. </w:t>
            </w:r>
          </w:p>
        </w:tc>
        <w:tc>
          <w:tcPr>
            <w:tcW w:w="290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22004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Асфалтирање некатегорисаног пута у МЗ Суво Поље</w:t>
            </w:r>
          </w:p>
        </w:tc>
        <w:tc>
          <w:tcPr>
            <w:tcW w:w="993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210</w:t>
            </w:r>
          </w:p>
        </w:tc>
        <w:tc>
          <w:tcPr>
            <w:tcW w:w="2002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18.294,82</w:t>
            </w:r>
          </w:p>
        </w:tc>
        <w:tc>
          <w:tcPr>
            <w:tcW w:w="1206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12.806,37</w:t>
            </w:r>
          </w:p>
        </w:tc>
        <w:tc>
          <w:tcPr>
            <w:tcW w:w="1531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5.488,45</w:t>
            </w:r>
          </w:p>
        </w:tc>
      </w:tr>
      <w:tr w:rsidR="006D5E65" w:rsidRPr="00B62E8D" w:rsidTr="00BE6153">
        <w:trPr>
          <w:trHeight w:val="760"/>
        </w:trPr>
        <w:tc>
          <w:tcPr>
            <w:tcW w:w="61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3.</w:t>
            </w:r>
          </w:p>
        </w:tc>
        <w:tc>
          <w:tcPr>
            <w:tcW w:w="290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22004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Асфалтирање некатегорисаног пута у МЗ Доња Чађавица</w:t>
            </w:r>
          </w:p>
        </w:tc>
        <w:tc>
          <w:tcPr>
            <w:tcW w:w="993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520</w:t>
            </w:r>
          </w:p>
        </w:tc>
        <w:tc>
          <w:tcPr>
            <w:tcW w:w="2002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41.395,17</w:t>
            </w:r>
          </w:p>
        </w:tc>
        <w:tc>
          <w:tcPr>
            <w:tcW w:w="1206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28.976,62</w:t>
            </w:r>
          </w:p>
        </w:tc>
        <w:tc>
          <w:tcPr>
            <w:tcW w:w="1531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12.418,55</w:t>
            </w:r>
          </w:p>
        </w:tc>
      </w:tr>
      <w:tr w:rsidR="006D5E65" w:rsidRPr="00B62E8D" w:rsidTr="00BE6153">
        <w:trPr>
          <w:trHeight w:val="760"/>
        </w:trPr>
        <w:tc>
          <w:tcPr>
            <w:tcW w:w="61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4.</w:t>
            </w:r>
          </w:p>
        </w:tc>
        <w:tc>
          <w:tcPr>
            <w:tcW w:w="290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22004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Асфалтирање некатегорисаног пута у МЗ Манојевић Средњи</w:t>
            </w:r>
          </w:p>
        </w:tc>
        <w:tc>
          <w:tcPr>
            <w:tcW w:w="993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1.536</w:t>
            </w:r>
          </w:p>
        </w:tc>
        <w:tc>
          <w:tcPr>
            <w:tcW w:w="2002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158.480,46</w:t>
            </w:r>
          </w:p>
        </w:tc>
        <w:tc>
          <w:tcPr>
            <w:tcW w:w="1206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110.936,32</w:t>
            </w:r>
          </w:p>
        </w:tc>
        <w:tc>
          <w:tcPr>
            <w:tcW w:w="1531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47.544,14</w:t>
            </w:r>
          </w:p>
        </w:tc>
      </w:tr>
      <w:tr w:rsidR="006D5E65" w:rsidRPr="00B62E8D" w:rsidTr="00BE6153">
        <w:trPr>
          <w:trHeight w:val="760"/>
        </w:trPr>
        <w:tc>
          <w:tcPr>
            <w:tcW w:w="61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5.</w:t>
            </w:r>
          </w:p>
        </w:tc>
        <w:tc>
          <w:tcPr>
            <w:tcW w:w="290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22004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Асфалтирање дијела локалног пута Л-17 у МЗ Градац-Ступањ, дужине 500,00 м</w:t>
            </w:r>
          </w:p>
        </w:tc>
        <w:tc>
          <w:tcPr>
            <w:tcW w:w="993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500</w:t>
            </w:r>
          </w:p>
        </w:tc>
        <w:tc>
          <w:tcPr>
            <w:tcW w:w="2002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70.528,77</w:t>
            </w:r>
          </w:p>
        </w:tc>
        <w:tc>
          <w:tcPr>
            <w:tcW w:w="1206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49.370,14</w:t>
            </w:r>
          </w:p>
        </w:tc>
        <w:tc>
          <w:tcPr>
            <w:tcW w:w="1531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21.158,63</w:t>
            </w:r>
          </w:p>
        </w:tc>
      </w:tr>
      <w:tr w:rsidR="006D5E65" w:rsidRPr="00B62E8D" w:rsidTr="00BE6153">
        <w:trPr>
          <w:trHeight w:val="760"/>
        </w:trPr>
        <w:tc>
          <w:tcPr>
            <w:tcW w:w="61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6.</w:t>
            </w:r>
          </w:p>
        </w:tc>
        <w:tc>
          <w:tcPr>
            <w:tcW w:w="290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22004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Асфалтирање некатегорисаног пута у МЗ Велика Обарска (Јоргос и код кванташке пијаце)</w:t>
            </w:r>
          </w:p>
        </w:tc>
        <w:tc>
          <w:tcPr>
            <w:tcW w:w="993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646</w:t>
            </w:r>
          </w:p>
        </w:tc>
        <w:tc>
          <w:tcPr>
            <w:tcW w:w="2002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54.974,20</w:t>
            </w:r>
          </w:p>
        </w:tc>
        <w:tc>
          <w:tcPr>
            <w:tcW w:w="1206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38.481,94</w:t>
            </w:r>
          </w:p>
        </w:tc>
        <w:tc>
          <w:tcPr>
            <w:tcW w:w="1531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16.492,26</w:t>
            </w:r>
          </w:p>
        </w:tc>
      </w:tr>
      <w:tr w:rsidR="006D5E65" w:rsidRPr="00B62E8D" w:rsidTr="00BE6153">
        <w:trPr>
          <w:trHeight w:val="760"/>
        </w:trPr>
        <w:tc>
          <w:tcPr>
            <w:tcW w:w="61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7.</w:t>
            </w:r>
          </w:p>
        </w:tc>
        <w:tc>
          <w:tcPr>
            <w:tcW w:w="290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22004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Асфалтирање некатегорисаног пута у МЗ Црњелово Горње</w:t>
            </w:r>
          </w:p>
        </w:tc>
        <w:tc>
          <w:tcPr>
            <w:tcW w:w="993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1000</w:t>
            </w:r>
          </w:p>
        </w:tc>
        <w:tc>
          <w:tcPr>
            <w:tcW w:w="2002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85.494,24</w:t>
            </w:r>
          </w:p>
        </w:tc>
        <w:tc>
          <w:tcPr>
            <w:tcW w:w="1206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85.494,24</w:t>
            </w:r>
          </w:p>
        </w:tc>
        <w:tc>
          <w:tcPr>
            <w:tcW w:w="1531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6D5E65" w:rsidRPr="00B62E8D" w:rsidTr="00BE6153">
        <w:trPr>
          <w:trHeight w:val="760"/>
        </w:trPr>
        <w:tc>
          <w:tcPr>
            <w:tcW w:w="61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8.</w:t>
            </w:r>
          </w:p>
        </w:tc>
        <w:tc>
          <w:tcPr>
            <w:tcW w:w="290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22004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Асфалтирање некатегорисаног пута у МЗ Суво Поље</w:t>
            </w:r>
          </w:p>
        </w:tc>
        <w:tc>
          <w:tcPr>
            <w:tcW w:w="993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460</w:t>
            </w:r>
          </w:p>
        </w:tc>
        <w:tc>
          <w:tcPr>
            <w:tcW w:w="2002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40.989,60</w:t>
            </w:r>
          </w:p>
        </w:tc>
        <w:tc>
          <w:tcPr>
            <w:tcW w:w="1206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28.692,72</w:t>
            </w:r>
          </w:p>
        </w:tc>
        <w:tc>
          <w:tcPr>
            <w:tcW w:w="1531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12.296,88</w:t>
            </w:r>
          </w:p>
        </w:tc>
      </w:tr>
      <w:tr w:rsidR="006D5E65" w:rsidRPr="00B62E8D" w:rsidTr="00BE6153">
        <w:trPr>
          <w:trHeight w:val="760"/>
        </w:trPr>
        <w:tc>
          <w:tcPr>
            <w:tcW w:w="61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9.</w:t>
            </w:r>
          </w:p>
        </w:tc>
        <w:tc>
          <w:tcPr>
            <w:tcW w:w="290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22004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Асфалтирање некатегорисаног пута у МЗ Амајлије поред објеката за колективни смјештај избјеглих и расељених лица</w:t>
            </w:r>
          </w:p>
        </w:tc>
        <w:tc>
          <w:tcPr>
            <w:tcW w:w="993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66</w:t>
            </w:r>
          </w:p>
        </w:tc>
        <w:tc>
          <w:tcPr>
            <w:tcW w:w="2002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11.691,01</w:t>
            </w:r>
          </w:p>
        </w:tc>
        <w:tc>
          <w:tcPr>
            <w:tcW w:w="1206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11.691,01</w:t>
            </w:r>
          </w:p>
        </w:tc>
        <w:tc>
          <w:tcPr>
            <w:tcW w:w="1531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6D5E65" w:rsidRPr="00B62E8D" w:rsidTr="00BE6153">
        <w:trPr>
          <w:trHeight w:val="760"/>
        </w:trPr>
        <w:tc>
          <w:tcPr>
            <w:tcW w:w="61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10.</w:t>
            </w:r>
          </w:p>
        </w:tc>
        <w:tc>
          <w:tcPr>
            <w:tcW w:w="2900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22004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АСФАЛТИРАЊЕ ДИЈЕЛА ПЈЕШАЧКЕ СТАЗЕ У ОКВИРУ КОМПЛЕКСА ГРАДСКОГ ПАРКА У БИЈЕЉИНИ, ДУЖИНЕ L=220,00m,  </w:t>
            </w:r>
          </w:p>
        </w:tc>
        <w:tc>
          <w:tcPr>
            <w:tcW w:w="993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220</w:t>
            </w:r>
          </w:p>
        </w:tc>
        <w:tc>
          <w:tcPr>
            <w:tcW w:w="2002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31.958,78</w:t>
            </w:r>
          </w:p>
        </w:tc>
        <w:tc>
          <w:tcPr>
            <w:tcW w:w="1206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31.958,78</w:t>
            </w:r>
          </w:p>
        </w:tc>
        <w:tc>
          <w:tcPr>
            <w:tcW w:w="1531" w:type="dxa"/>
          </w:tcPr>
          <w:p w:rsidR="006D5E65" w:rsidRPr="00220044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</w:tr>
    </w:tbl>
    <w:p w:rsidR="006D5E65" w:rsidRDefault="006D5E65" w:rsidP="006D5E65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6D5E65" w:rsidRPr="00B62E8D" w:rsidRDefault="006D5E65" w:rsidP="006D5E6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6D5E65" w:rsidRPr="00B62E8D" w:rsidRDefault="006D5E65" w:rsidP="006D5E65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tbl>
      <w:tblPr>
        <w:tblStyle w:val="TableGrid"/>
        <w:tblW w:w="0" w:type="auto"/>
        <w:tblLook w:val="04A0"/>
      </w:tblPr>
      <w:tblGrid>
        <w:gridCol w:w="610"/>
        <w:gridCol w:w="2900"/>
        <w:gridCol w:w="993"/>
        <w:gridCol w:w="2002"/>
        <w:gridCol w:w="1206"/>
        <w:gridCol w:w="1562"/>
      </w:tblGrid>
      <w:tr w:rsidR="006D5E65" w:rsidRPr="00666842" w:rsidTr="00BE6153">
        <w:tc>
          <w:tcPr>
            <w:tcW w:w="610" w:type="dxa"/>
            <w:shd w:val="clear" w:color="auto" w:fill="F2F2F2" w:themeFill="background1" w:themeFillShade="F2"/>
          </w:tcPr>
          <w:p w:rsidR="006D5E65" w:rsidRPr="00666842" w:rsidRDefault="006D5E65" w:rsidP="00BE615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666842">
              <w:rPr>
                <w:rFonts w:ascii="Times New Roman" w:hAnsi="Times New Roman" w:cs="Times New Roman"/>
                <w:lang w:val="sr-Cyrl-BA"/>
              </w:rPr>
              <w:t>Ред.</w:t>
            </w:r>
          </w:p>
          <w:p w:rsidR="006D5E65" w:rsidRPr="00666842" w:rsidRDefault="006D5E65" w:rsidP="00BE615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666842">
              <w:rPr>
                <w:rFonts w:ascii="Times New Roman" w:hAnsi="Times New Roman" w:cs="Times New Roman"/>
                <w:lang w:val="sr-Cyrl-BA"/>
              </w:rPr>
              <w:t>број</w:t>
            </w:r>
          </w:p>
        </w:tc>
        <w:tc>
          <w:tcPr>
            <w:tcW w:w="2900" w:type="dxa"/>
            <w:shd w:val="clear" w:color="auto" w:fill="F2F2F2" w:themeFill="background1" w:themeFillShade="F2"/>
          </w:tcPr>
          <w:p w:rsidR="006D5E65" w:rsidRPr="00666842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66842">
              <w:rPr>
                <w:rFonts w:ascii="Times New Roman" w:hAnsi="Times New Roman" w:cs="Times New Roman"/>
                <w:lang w:val="sr-Cyrl-BA"/>
              </w:rPr>
              <w:t>ОПИС ПОСЛА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6D5E65" w:rsidRPr="00666842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66842">
              <w:rPr>
                <w:rFonts w:ascii="Times New Roman" w:hAnsi="Times New Roman" w:cs="Times New Roman"/>
                <w:lang w:val="sr-Cyrl-BA"/>
              </w:rPr>
              <w:t>Дужина</w:t>
            </w:r>
          </w:p>
          <w:p w:rsidR="006D5E65" w:rsidRPr="00666842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66842">
              <w:rPr>
                <w:rFonts w:ascii="Times New Roman" w:hAnsi="Times New Roman" w:cs="Times New Roman"/>
                <w:lang w:val="sr-Cyrl-BA"/>
              </w:rPr>
              <w:t>(м¹)</w:t>
            </w:r>
          </w:p>
        </w:tc>
        <w:tc>
          <w:tcPr>
            <w:tcW w:w="2002" w:type="dxa"/>
            <w:shd w:val="clear" w:color="auto" w:fill="F2F2F2" w:themeFill="background1" w:themeFillShade="F2"/>
          </w:tcPr>
          <w:p w:rsidR="006D5E65" w:rsidRPr="00666842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66842">
              <w:rPr>
                <w:rFonts w:ascii="Times New Roman" w:hAnsi="Times New Roman" w:cs="Times New Roman"/>
                <w:lang w:val="sr-Cyrl-BA"/>
              </w:rPr>
              <w:t>Вриједност радова</w:t>
            </w:r>
          </w:p>
          <w:p w:rsidR="006D5E65" w:rsidRPr="00666842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66842">
              <w:rPr>
                <w:rFonts w:ascii="Times New Roman" w:hAnsi="Times New Roman" w:cs="Times New Roman"/>
                <w:lang w:val="sr-Cyrl-BA"/>
              </w:rPr>
              <w:t>(КМ)</w:t>
            </w:r>
          </w:p>
        </w:tc>
        <w:tc>
          <w:tcPr>
            <w:tcW w:w="1206" w:type="dxa"/>
            <w:shd w:val="clear" w:color="auto" w:fill="F2F2F2" w:themeFill="background1" w:themeFillShade="F2"/>
          </w:tcPr>
          <w:p w:rsidR="006D5E65" w:rsidRPr="00666842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66842">
              <w:rPr>
                <w:rFonts w:ascii="Times New Roman" w:hAnsi="Times New Roman" w:cs="Times New Roman"/>
                <w:lang w:val="sr-Cyrl-BA"/>
              </w:rPr>
              <w:t>Учешће Града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6D5E65" w:rsidRPr="00666842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66842">
              <w:rPr>
                <w:rFonts w:ascii="Times New Roman" w:hAnsi="Times New Roman" w:cs="Times New Roman"/>
                <w:lang w:val="sr-Cyrl-BA"/>
              </w:rPr>
              <w:t>Учешће Федералног Министарства</w:t>
            </w:r>
          </w:p>
        </w:tc>
      </w:tr>
      <w:tr w:rsidR="006D5E65" w:rsidRPr="00666842" w:rsidTr="00BE6153">
        <w:trPr>
          <w:trHeight w:val="760"/>
        </w:trPr>
        <w:tc>
          <w:tcPr>
            <w:tcW w:w="610" w:type="dxa"/>
          </w:tcPr>
          <w:p w:rsidR="006D5E65" w:rsidRPr="00666842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666842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66842">
              <w:rPr>
                <w:rFonts w:ascii="Times New Roman" w:hAnsi="Times New Roman" w:cs="Times New Roman"/>
                <w:lang w:val="sr-Cyrl-BA"/>
              </w:rPr>
              <w:t>1.</w:t>
            </w:r>
          </w:p>
        </w:tc>
        <w:tc>
          <w:tcPr>
            <w:tcW w:w="2900" w:type="dxa"/>
          </w:tcPr>
          <w:p w:rsidR="006D5E65" w:rsidRPr="00666842" w:rsidRDefault="006D5E65" w:rsidP="00BE61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66684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Изградња инфраструктуре путева и улица у сарадњи са Федералним министарством за расељене особе и избјеглице</w:t>
            </w:r>
          </w:p>
        </w:tc>
        <w:tc>
          <w:tcPr>
            <w:tcW w:w="993" w:type="dxa"/>
          </w:tcPr>
          <w:p w:rsidR="006D5E65" w:rsidRPr="00666842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666842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2002" w:type="dxa"/>
          </w:tcPr>
          <w:p w:rsidR="006D5E65" w:rsidRPr="00666842" w:rsidRDefault="006D5E65" w:rsidP="00BE615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666842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66842">
              <w:rPr>
                <w:rFonts w:ascii="Times New Roman" w:hAnsi="Times New Roman" w:cs="Times New Roman"/>
                <w:lang w:val="sr-Cyrl-BA"/>
              </w:rPr>
              <w:t>380.000</w:t>
            </w:r>
          </w:p>
        </w:tc>
        <w:tc>
          <w:tcPr>
            <w:tcW w:w="1206" w:type="dxa"/>
          </w:tcPr>
          <w:p w:rsidR="006D5E65" w:rsidRPr="00666842" w:rsidRDefault="006D5E65" w:rsidP="00BE615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666842" w:rsidRDefault="006D5E65" w:rsidP="00BE615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666842">
              <w:rPr>
                <w:rFonts w:ascii="Times New Roman" w:hAnsi="Times New Roman" w:cs="Times New Roman"/>
                <w:lang w:val="sr-Cyrl-BA"/>
              </w:rPr>
              <w:t>246.000</w:t>
            </w:r>
          </w:p>
        </w:tc>
        <w:tc>
          <w:tcPr>
            <w:tcW w:w="1531" w:type="dxa"/>
          </w:tcPr>
          <w:p w:rsidR="006D5E65" w:rsidRPr="00666842" w:rsidRDefault="006D5E65" w:rsidP="00BE615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</w:p>
          <w:p w:rsidR="006D5E65" w:rsidRPr="00666842" w:rsidRDefault="006D5E65" w:rsidP="00BE615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66842">
              <w:rPr>
                <w:rFonts w:ascii="Times New Roman" w:hAnsi="Times New Roman" w:cs="Times New Roman"/>
                <w:lang w:val="sr-Cyrl-BA"/>
              </w:rPr>
              <w:t>134.000</w:t>
            </w:r>
          </w:p>
        </w:tc>
      </w:tr>
    </w:tbl>
    <w:p w:rsidR="006B36CA" w:rsidRDefault="006B36CA" w:rsidP="00D36BCA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D5E65" w:rsidRDefault="006D5E65" w:rsidP="00D36BCA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D5E65" w:rsidRPr="006D5E65" w:rsidRDefault="006D5E65" w:rsidP="00D36BCA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A4A15" w:rsidRPr="006D5E65" w:rsidRDefault="00EC7E8D" w:rsidP="006D5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A2DE6">
        <w:rPr>
          <w:rFonts w:ascii="Times New Roman" w:hAnsi="Times New Roman" w:cs="Times New Roman"/>
          <w:sz w:val="24"/>
          <w:szCs w:val="24"/>
          <w:lang w:val="sr-Cyrl-BA"/>
        </w:rPr>
        <w:t>Укупно у току 201</w:t>
      </w:r>
      <w:r w:rsidR="006D5E65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. године, мј</w:t>
      </w:r>
      <w:r w:rsidR="005B6AF3">
        <w:rPr>
          <w:rFonts w:ascii="Times New Roman" w:hAnsi="Times New Roman" w:cs="Times New Roman"/>
          <w:sz w:val="24"/>
          <w:szCs w:val="24"/>
          <w:lang w:val="sr-Cyrl-BA"/>
        </w:rPr>
        <w:t xml:space="preserve">есне заједнице су кандидовале </w:t>
      </w:r>
      <w:r w:rsidR="00A32596">
        <w:rPr>
          <w:rFonts w:ascii="Times New Roman" w:hAnsi="Times New Roman" w:cs="Times New Roman"/>
          <w:sz w:val="24"/>
          <w:szCs w:val="24"/>
          <w:lang w:val="bs-Cyrl-BA"/>
        </w:rPr>
        <w:t>42</w:t>
      </w:r>
      <w:r w:rsidR="00A208D7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пројекта за суфинасирање</w:t>
      </w:r>
      <w:r w:rsidR="00607822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Пројекти мјесних заједница суфинасирају се у складу са Одлуком о поступку и критеријум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 суфинансирање пројеката мјесних заједница на подручју општине Бијељина у којој је дефинисано да Град Бијељина суфина</w:t>
      </w:r>
      <w:r w:rsidR="00BA3BD3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сира пројекте изградње водоводних линија са 80% учешћа, а мјесне заједнице 20%, асфалтирање сеоских путева и градских улица, Град Бијељина 70%, а мјесне заједнице  30%, изградња јавне расвјете Град Бијељина 50 %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>, мјесне заједнице 5</w:t>
      </w:r>
      <w:r w:rsidR="006D5E65">
        <w:rPr>
          <w:rFonts w:ascii="Times New Roman" w:hAnsi="Times New Roman" w:cs="Times New Roman"/>
          <w:sz w:val="24"/>
          <w:szCs w:val="24"/>
          <w:lang w:val="sr-Cyrl-BA"/>
        </w:rPr>
        <w:t>0 %. Очекивати је да у току 2020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>. године у складу са средствима буџета Града Бијељина значајан број кандидованих пројеката буде реализован.</w:t>
      </w:r>
    </w:p>
    <w:p w:rsidR="006A4A15" w:rsidRDefault="006A4A15" w:rsidP="005D54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A4A15" w:rsidRDefault="006A4A15" w:rsidP="005D54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CF090A" w:rsidRPr="00326BE5" w:rsidRDefault="00E72096" w:rsidP="005D54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Када су у питању објекти у мјесним заједнцама, њихово 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стање и начин коришћ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ења, треба истаћи да на подручју Града Бијељина постоји 74 објекта која користе мјесне заједнице или удружења грађана на подручју мјесне заједнице. Већина тих објеката, у складу са законом о преносу права друштвене својине на јединицу локалне самоуправе („Службени Гласник Републике Српске“ број:70/06) укњижен је у корист Општине Бијељина, осим у случајевима г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дје нису имовинско-правни однос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и ријешени. </w:t>
      </w:r>
    </w:p>
    <w:p w:rsidR="0093070D" w:rsidRDefault="0093070D" w:rsidP="00B044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Објекти домова културе у сеоским срединама се углавном користе за зборове грађана као и друга друштвена окупљања</w:t>
      </w:r>
      <w:r w:rsidR="00703488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gramStart"/>
      <w:r w:rsidRPr="00326BE5">
        <w:rPr>
          <w:rFonts w:ascii="Times New Roman" w:hAnsi="Times New Roman" w:cs="Times New Roman"/>
          <w:sz w:val="24"/>
          <w:szCs w:val="24"/>
        </w:rPr>
        <w:t>Д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омови културе су на неки начин приведени основној друштв</w:t>
      </w:r>
      <w:r w:rsidR="004F55E6">
        <w:rPr>
          <w:rFonts w:ascii="Times New Roman" w:hAnsi="Times New Roman" w:cs="Times New Roman"/>
          <w:sz w:val="24"/>
          <w:szCs w:val="24"/>
          <w:lang w:val="sr-Cyrl-BA"/>
        </w:rPr>
        <w:t>еној функцији, и постали мјесто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окупљања великог броја грађана, посебно младих, јер је у предходном периоду основано и регистровано 14.</w:t>
      </w:r>
      <w:proofErr w:type="gramEnd"/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културно умјетничких друштава у мјесним заједницама (Дворови, Доње Црњелово, Батковић, Велика Обарска, Којчиновац-Чардачине, Драгаљевац Доњи, Суво Поље, Бродац, Нова Јања, Трњаци, Глоговац, Попови, Средњи Драгаљевац, Балатун), а неколико друштава је у фази оснивања (Патковача, Љељенча, Градац).</w:t>
      </w:r>
    </w:p>
    <w:p w:rsidR="0093070D" w:rsidRPr="00B04447" w:rsidRDefault="0093070D" w:rsidP="00B044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Друга група</w:t>
      </w:r>
      <w:r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објеката ткз. читаонице су у релативно солидном стању</w:t>
      </w:r>
      <w:r w:rsidR="00703488">
        <w:rPr>
          <w:rFonts w:ascii="Times New Roman" w:hAnsi="Times New Roman" w:cs="Times New Roman"/>
          <w:sz w:val="24"/>
          <w:szCs w:val="24"/>
          <w:lang w:val="sr-Cyrl-BA"/>
        </w:rPr>
        <w:t xml:space="preserve"> ,али је потребно редовно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одржавање.</w:t>
      </w:r>
    </w:p>
    <w:p w:rsidR="0093070D" w:rsidRDefault="0093070D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Домове културе у сеоским мјесним заједницама, користе мјесне заједнице, м</w:t>
      </w:r>
      <w:r>
        <w:rPr>
          <w:rFonts w:ascii="Times New Roman" w:hAnsi="Times New Roman" w:cs="Times New Roman"/>
          <w:sz w:val="24"/>
          <w:szCs w:val="24"/>
          <w:lang w:val="sr-Cyrl-BA"/>
        </w:rPr>
        <w:t>јесни фудба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л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ки клубови, културно-умјетничка друштва, удружења грађана, борци, пензионери, ловци, док у појединим објектима су смјештене амбуланте породичне медицине и поште Републике Српске (Велика Обарска, Горње Црњелово, Доњи Драгаљевац, Главичице, Суво Поље, Ченгић, Горња Чађавица, Вршани, Трњаци, Бродац, Батковић, Модран, Пучиле</w:t>
      </w:r>
      <w:r>
        <w:rPr>
          <w:rFonts w:ascii="Times New Roman" w:hAnsi="Times New Roman" w:cs="Times New Roman"/>
          <w:sz w:val="24"/>
          <w:szCs w:val="24"/>
          <w:lang w:val="sr-Cyrl-BA"/>
        </w:rPr>
        <w:t>,Буковица Доња,</w:t>
      </w:r>
      <w:r w:rsidR="00A3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Бањица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).</w:t>
      </w:r>
    </w:p>
    <w:p w:rsidR="0093070D" w:rsidRDefault="00B04447" w:rsidP="00E45F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Градске мјесне заједнице користе објекте за потребе својих активности, а стање тих објеката је углавном задовољавајуће. У предходном периоду се није улагало у поједине објекте те је потребно  да се у наредном периоду предвиде одређена новчана средства у буџету Града Бијељина, за најнужније санације односно одржавање. Просторије које нису потребне за рад мјесних заједница издате су у закуп, а такви случајеви су у мјесним заједницама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„Центар“,</w:t>
      </w:r>
      <w:r w:rsidR="00A3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Суво Поље,</w:t>
      </w:r>
      <w:r w:rsidR="00A3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Модран.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Мјесне заједнице „Вељко Лукић“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„Центар“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„15.Мајевичка“ немају објекте за рад Савјета, јер се у објекат који су некад користили уселила Полицијска станица за безбиједност саобраћаја..  Из тих разлога Градска управа Града Бијељи</w:t>
      </w:r>
      <w:r w:rsidR="0054775B">
        <w:rPr>
          <w:rFonts w:ascii="Times New Roman" w:hAnsi="Times New Roman" w:cs="Times New Roman"/>
          <w:sz w:val="24"/>
          <w:szCs w:val="24"/>
          <w:lang w:val="sr-Cyrl-BA"/>
        </w:rPr>
        <w:t xml:space="preserve">на, узела је у закуп просторије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наведене мјесне заједнице,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како би Савјети мјесних заједница имали услове за свој рад.</w:t>
      </w:r>
    </w:p>
    <w:p w:rsidR="00B04447" w:rsidRDefault="00B70B4C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54F69">
        <w:rPr>
          <w:rFonts w:ascii="Times New Roman" w:hAnsi="Times New Roman" w:cs="Times New Roman"/>
          <w:sz w:val="24"/>
          <w:szCs w:val="24"/>
          <w:lang w:val="sr-Cyrl-BA"/>
        </w:rPr>
        <w:t>Увиђајући потребу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реконструкциј</w:t>
      </w:r>
      <w:r w:rsidR="00D54F69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домова културе и уређења домова културе и читаоница по мјесним заједни</w:t>
      </w:r>
      <w:r w:rsidR="00D54F69">
        <w:rPr>
          <w:rFonts w:ascii="Times New Roman" w:hAnsi="Times New Roman" w:cs="Times New Roman"/>
          <w:sz w:val="24"/>
          <w:szCs w:val="24"/>
          <w:lang w:val="sr-Cyrl-BA"/>
        </w:rPr>
        <w:t>цама, извршена је санација објеката и просторија у следећим мјесним заједницама: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623875">
        <w:rPr>
          <w:rFonts w:ascii="Times New Roman" w:hAnsi="Times New Roman" w:cs="Times New Roman"/>
          <w:sz w:val="24"/>
          <w:szCs w:val="24"/>
        </w:rPr>
        <w:t>.</w:t>
      </w: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З. Ковачићи – санација дома културе, уградња столарије на истом,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Чађавица Горња – обнова електроинсталација на дому културе и санација дома културе,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Ченгић – обнова електроинсалације, раздвајање бројила у дому културе, М.З. Буковица Доња (Главичорак) – обнова електроинсталација и прикључење електричне енергије,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Даздарево – обнова електроинсталације на објекту стара школа и прикључење електричне енергије за потребе мјесне заједнице,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>М.З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 Драгаљевац Средњи – прибављање електроенергетске сагласности и прикључење на НН мрежу објекта на гробљу,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М.З. Јања – уградња електро ормара у Новом насељу, уређење простора око стадиона фудбалског клуба у Новом насељу,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Попови – поправка електроинсталација у дому културе, изградња бине у дому културе, унутрашње уређење дома културе, 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Црњелово Доње – набавка цријепа и кубура за потребе објекта на гробљу, набавка и уградња алуминијске и пвц столарије, изградња санитарног чвора и тротоара на објекту на грабљу,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„Лединци“ – набавка тракастих завјеса за потребе просторија мјесне заједнице,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Бродац – набавка и уградња ламинта у малој сали дома културе, изградња дјечијег игралишта,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„Соколски Дом“ – набавка и уградња тракастих завјеса за потребе просторија мјессних заједница,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Међаши – набавка материјала и кречење просторија читаонице и свлачионице,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Балатун – набавка реквизита и постављање истих на игралиште за дјецу, М.З. „Галац“ – реконструкција читаонице и вањско уређење око објекта,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Велика Обарска – набавка материјала и израда кровног покривача на дому културе,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Чађавица Доња – набавка материјала за изградњу објекта на гробљу, набавлка електро материјала за потребе дома културе,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Црњелово Горње – набавка огрева за потребе читаонице, </w:t>
      </w:r>
    </w:p>
    <w:p w:rsidR="00A32596" w:rsidRDefault="00A32596" w:rsidP="00A3259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М.З. Загони – набавка и изградња дјечијег игралишта. </w:t>
      </w:r>
    </w:p>
    <w:p w:rsidR="00A32596" w:rsidRDefault="00A32596" w:rsidP="00A3259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32596" w:rsidRPr="009537A3" w:rsidRDefault="00A32596" w:rsidP="00A3259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Урађена је набавка  и постављање табли са натписом мјесне заједнице на сједишта мјесних заједница, набавка и постављање носача застава насједишта мјесних заједница, набавка и постављање копаља и застава на сједишта мјесних заједница.</w:t>
      </w:r>
    </w:p>
    <w:p w:rsidR="00A32596" w:rsidRPr="00623875" w:rsidRDefault="00A32596" w:rsidP="00A32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Свим грађанима који су жељели да пријаве порез на непокретности, на обрасцима (ПФРН, ЗОПН, ЗУПО, ПВОН) извршена бесплатна услуга, од стране службеника Одсјека за послове мјесних  заједница.    </w:t>
      </w:r>
    </w:p>
    <w:p w:rsidR="00A32596" w:rsidRP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5013F" w:rsidRDefault="0085013F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32596" w:rsidRPr="00A32596" w:rsidRDefault="00A32596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B04447" w:rsidRDefault="00B04447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B3D8E" w:rsidRPr="0093070D" w:rsidRDefault="005579BE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Скупштина Гр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>ада Бијељина када су у питању о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бјекти које користе мјесне заједнице на подручју Града Бијељина требала би у наредном периоду предвидјети сре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t>дства у буџету Града Бијељина, те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урадити план и програм санације објеката. Такође је потребно донјети Одлуку Скупштине Града Бијељина која би јасно дефинисала </w:t>
      </w:r>
      <w:r w:rsidR="006C1519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>услове и начин коришћења о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бјеката у складу са З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коном и С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татутом Града. Мјесне заједнице на подручју Града Бијељина, у наредном периоду, у сарадњи са Градском управом Града Бијељина, требало би да припреме планове и програме изградње  и одржавања објеката комуналне инфраструктуре на подручју сваке мјесне заједнице, што би олакшало планирање и 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динамику њ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>иховог рјешавања на цјелокупном подручју Града Бијељина. Савјети мјесних заје</w:t>
      </w:r>
      <w:r w:rsidR="001B6E0D" w:rsidRPr="00326BE5">
        <w:rPr>
          <w:rFonts w:ascii="Times New Roman" w:hAnsi="Times New Roman" w:cs="Times New Roman"/>
          <w:sz w:val="24"/>
          <w:szCs w:val="24"/>
          <w:lang w:val="sr-Cyrl-BA"/>
        </w:rPr>
        <w:t>дница у најчешћем случају су слабо активни,</w:t>
      </w:r>
      <w:r w:rsidR="009B7DA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B6E0D" w:rsidRPr="00326BE5">
        <w:rPr>
          <w:rFonts w:ascii="Times New Roman" w:hAnsi="Times New Roman" w:cs="Times New Roman"/>
          <w:sz w:val="24"/>
          <w:szCs w:val="24"/>
          <w:lang w:val="sr-Cyrl-BA"/>
        </w:rPr>
        <w:t>ријеђе се одржавају саста</w:t>
      </w:r>
      <w:r w:rsidR="008604AC" w:rsidRPr="00326BE5">
        <w:rPr>
          <w:rFonts w:ascii="Times New Roman" w:hAnsi="Times New Roman" w:cs="Times New Roman"/>
          <w:sz w:val="24"/>
          <w:szCs w:val="24"/>
          <w:lang w:val="sr-Cyrl-BA"/>
        </w:rPr>
        <w:t>нци савјета</w:t>
      </w:r>
      <w:r w:rsidR="00926647" w:rsidRPr="00326BE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Досадашњи рад Савјета мјесних заједница одвијао се по принципу волонтеризма, без икакве накнаде, што утиче на мотивацију и сам рад Савјета мјесних заједница</w:t>
      </w:r>
      <w:r w:rsidR="00A13F4C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CB3D8E" w:rsidRDefault="00CB3D8E" w:rsidP="00CB3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85013F" w:rsidRDefault="0085013F" w:rsidP="00CB3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85013F" w:rsidRPr="0085013F" w:rsidRDefault="0085013F" w:rsidP="00CB3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326BE5" w:rsidRPr="00326BE5" w:rsidRDefault="00326BE5" w:rsidP="00326B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Pr="00326BE5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6561" w:rsidRPr="00906561" w:rsidRDefault="00906561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E45FD0" w:rsidRPr="00326BE5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Pr="00326BE5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Pr="00326BE5" w:rsidRDefault="00E45FD0" w:rsidP="00326B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</w:t>
      </w:r>
      <w:r w:rsid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</w:t>
      </w: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E45FD0" w:rsidP="00E45FD0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115095" w:rsidRPr="00326BE5">
        <w:rPr>
          <w:rFonts w:ascii="Times New Roman" w:hAnsi="Times New Roman" w:cs="Times New Roman"/>
          <w:sz w:val="24"/>
          <w:szCs w:val="24"/>
        </w:rPr>
        <w:t xml:space="preserve"> 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Информацију припремио</w:t>
      </w:r>
    </w:p>
    <w:p w:rsidR="00E45FD0" w:rsidRPr="00326BE5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Одсјек за послове мјесних заједница</w:t>
      </w: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</w:t>
      </w:r>
      <w:r w:rsidR="00932C8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</w:t>
      </w:r>
      <w:r w:rsidR="00115095" w:rsidRPr="00326BE5">
        <w:rPr>
          <w:rFonts w:ascii="Times New Roman" w:hAnsi="Times New Roman" w:cs="Times New Roman"/>
          <w:sz w:val="24"/>
          <w:szCs w:val="24"/>
        </w:rPr>
        <w:t xml:space="preserve">   </w:t>
      </w:r>
      <w:r w:rsidR="00932C8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004D2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 w:rsidR="00932C85" w:rsidRPr="00326BE5">
        <w:rPr>
          <w:rFonts w:ascii="Times New Roman" w:hAnsi="Times New Roman" w:cs="Times New Roman"/>
          <w:sz w:val="24"/>
          <w:szCs w:val="24"/>
          <w:lang w:val="sr-Cyrl-BA"/>
        </w:rPr>
        <w:t>Шеф О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дсјека</w:t>
      </w: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</w:t>
      </w:r>
      <w:r w:rsidR="00115095" w:rsidRPr="00326BE5">
        <w:rPr>
          <w:rFonts w:ascii="Times New Roman" w:hAnsi="Times New Roman" w:cs="Times New Roman"/>
          <w:sz w:val="24"/>
          <w:szCs w:val="24"/>
        </w:rPr>
        <w:t xml:space="preserve">   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004D2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__________________________</w:t>
      </w:r>
    </w:p>
    <w:p w:rsidR="00004D27" w:rsidRPr="00326BE5" w:rsidRDefault="00004D27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</w:t>
      </w:r>
      <w:r w:rsidR="006A45B6">
        <w:rPr>
          <w:rFonts w:ascii="Times New Roman" w:hAnsi="Times New Roman" w:cs="Times New Roman"/>
          <w:sz w:val="24"/>
          <w:szCs w:val="24"/>
          <w:lang w:val="sr-Cyrl-BA"/>
        </w:rPr>
        <w:t>Славиша Савић</w:t>
      </w: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073215" w:rsidRDefault="005553E4" w:rsidP="0055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5553E4" w:rsidRPr="00073215" w:rsidSect="006B36CA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5AF3"/>
    <w:multiLevelType w:val="hybridMultilevel"/>
    <w:tmpl w:val="0BF2B0D0"/>
    <w:lvl w:ilvl="0" w:tplc="DC703C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95704"/>
    <w:multiLevelType w:val="hybridMultilevel"/>
    <w:tmpl w:val="8856C642"/>
    <w:lvl w:ilvl="0" w:tplc="C33EAF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6754C"/>
    <w:multiLevelType w:val="hybridMultilevel"/>
    <w:tmpl w:val="554482F6"/>
    <w:lvl w:ilvl="0" w:tplc="FFC019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73215"/>
    <w:rsid w:val="00004D27"/>
    <w:rsid w:val="000179C4"/>
    <w:rsid w:val="0004498D"/>
    <w:rsid w:val="00065BC1"/>
    <w:rsid w:val="00073215"/>
    <w:rsid w:val="00094B80"/>
    <w:rsid w:val="00097091"/>
    <w:rsid w:val="000E6E89"/>
    <w:rsid w:val="000F191C"/>
    <w:rsid w:val="00115095"/>
    <w:rsid w:val="001237D9"/>
    <w:rsid w:val="00137665"/>
    <w:rsid w:val="001774CB"/>
    <w:rsid w:val="001B6E0D"/>
    <w:rsid w:val="001C7B02"/>
    <w:rsid w:val="001D314A"/>
    <w:rsid w:val="001E6C83"/>
    <w:rsid w:val="00217ADE"/>
    <w:rsid w:val="00222800"/>
    <w:rsid w:val="0024008E"/>
    <w:rsid w:val="00270892"/>
    <w:rsid w:val="00271417"/>
    <w:rsid w:val="00275051"/>
    <w:rsid w:val="002D2A3B"/>
    <w:rsid w:val="002D5492"/>
    <w:rsid w:val="002D5ABE"/>
    <w:rsid w:val="002F24DB"/>
    <w:rsid w:val="00326BE5"/>
    <w:rsid w:val="00336D9B"/>
    <w:rsid w:val="00383DEE"/>
    <w:rsid w:val="0038416C"/>
    <w:rsid w:val="003A7E51"/>
    <w:rsid w:val="003B6024"/>
    <w:rsid w:val="003C4AA1"/>
    <w:rsid w:val="003D603C"/>
    <w:rsid w:val="003F43B3"/>
    <w:rsid w:val="0040643F"/>
    <w:rsid w:val="00406E41"/>
    <w:rsid w:val="00436361"/>
    <w:rsid w:val="00441DB5"/>
    <w:rsid w:val="00443387"/>
    <w:rsid w:val="00464A10"/>
    <w:rsid w:val="004A3B55"/>
    <w:rsid w:val="004A5118"/>
    <w:rsid w:val="004A7A21"/>
    <w:rsid w:val="004B32FE"/>
    <w:rsid w:val="004C04A9"/>
    <w:rsid w:val="004C4F07"/>
    <w:rsid w:val="004D32F7"/>
    <w:rsid w:val="004F55E6"/>
    <w:rsid w:val="00514CF0"/>
    <w:rsid w:val="005279D5"/>
    <w:rsid w:val="00537260"/>
    <w:rsid w:val="0054775B"/>
    <w:rsid w:val="0055102E"/>
    <w:rsid w:val="005533AB"/>
    <w:rsid w:val="005553E4"/>
    <w:rsid w:val="005579BE"/>
    <w:rsid w:val="005A5EF7"/>
    <w:rsid w:val="005B6AF3"/>
    <w:rsid w:val="005C37D1"/>
    <w:rsid w:val="005D547F"/>
    <w:rsid w:val="005E0897"/>
    <w:rsid w:val="005F3EF8"/>
    <w:rsid w:val="00607822"/>
    <w:rsid w:val="006321AF"/>
    <w:rsid w:val="0064563E"/>
    <w:rsid w:val="00650FAA"/>
    <w:rsid w:val="006815DE"/>
    <w:rsid w:val="00682276"/>
    <w:rsid w:val="00682754"/>
    <w:rsid w:val="00690E18"/>
    <w:rsid w:val="006934E7"/>
    <w:rsid w:val="00693B1B"/>
    <w:rsid w:val="006A18F2"/>
    <w:rsid w:val="006A45B6"/>
    <w:rsid w:val="006A4A15"/>
    <w:rsid w:val="006B36CA"/>
    <w:rsid w:val="006C1519"/>
    <w:rsid w:val="006C1546"/>
    <w:rsid w:val="006D5E65"/>
    <w:rsid w:val="006E39E4"/>
    <w:rsid w:val="006F5C70"/>
    <w:rsid w:val="006F64D3"/>
    <w:rsid w:val="00703488"/>
    <w:rsid w:val="0070436F"/>
    <w:rsid w:val="007066F9"/>
    <w:rsid w:val="00735AF0"/>
    <w:rsid w:val="00740DDA"/>
    <w:rsid w:val="0076459B"/>
    <w:rsid w:val="00792B3F"/>
    <w:rsid w:val="007E5197"/>
    <w:rsid w:val="0083344E"/>
    <w:rsid w:val="0085013F"/>
    <w:rsid w:val="008604AC"/>
    <w:rsid w:val="008675C6"/>
    <w:rsid w:val="00875EDA"/>
    <w:rsid w:val="00883615"/>
    <w:rsid w:val="00890439"/>
    <w:rsid w:val="008B0DAF"/>
    <w:rsid w:val="008D1093"/>
    <w:rsid w:val="008D3105"/>
    <w:rsid w:val="008D41B2"/>
    <w:rsid w:val="00906561"/>
    <w:rsid w:val="00926647"/>
    <w:rsid w:val="0093070D"/>
    <w:rsid w:val="00932C85"/>
    <w:rsid w:val="00956282"/>
    <w:rsid w:val="00957FB8"/>
    <w:rsid w:val="0097126A"/>
    <w:rsid w:val="00971E14"/>
    <w:rsid w:val="009915BF"/>
    <w:rsid w:val="00991704"/>
    <w:rsid w:val="00993DFD"/>
    <w:rsid w:val="00994999"/>
    <w:rsid w:val="009A1718"/>
    <w:rsid w:val="009A2DE5"/>
    <w:rsid w:val="009A2DE6"/>
    <w:rsid w:val="009A309A"/>
    <w:rsid w:val="009B7DA2"/>
    <w:rsid w:val="009C52A1"/>
    <w:rsid w:val="009C607D"/>
    <w:rsid w:val="009E0C77"/>
    <w:rsid w:val="00A13F4C"/>
    <w:rsid w:val="00A208D7"/>
    <w:rsid w:val="00A32596"/>
    <w:rsid w:val="00A357AD"/>
    <w:rsid w:val="00A654B0"/>
    <w:rsid w:val="00A71ED6"/>
    <w:rsid w:val="00A81EA1"/>
    <w:rsid w:val="00A82596"/>
    <w:rsid w:val="00AA41EA"/>
    <w:rsid w:val="00AC724E"/>
    <w:rsid w:val="00AE4A9E"/>
    <w:rsid w:val="00B01C74"/>
    <w:rsid w:val="00B04447"/>
    <w:rsid w:val="00B210DC"/>
    <w:rsid w:val="00B22D2B"/>
    <w:rsid w:val="00B31FFF"/>
    <w:rsid w:val="00B47962"/>
    <w:rsid w:val="00B53DE2"/>
    <w:rsid w:val="00B70B4C"/>
    <w:rsid w:val="00B82B0A"/>
    <w:rsid w:val="00B85531"/>
    <w:rsid w:val="00BA3BD3"/>
    <w:rsid w:val="00BA585B"/>
    <w:rsid w:val="00BC76C8"/>
    <w:rsid w:val="00BF0BCC"/>
    <w:rsid w:val="00C0193B"/>
    <w:rsid w:val="00C045C5"/>
    <w:rsid w:val="00C14526"/>
    <w:rsid w:val="00C408D8"/>
    <w:rsid w:val="00C41B7C"/>
    <w:rsid w:val="00C42431"/>
    <w:rsid w:val="00C60A2D"/>
    <w:rsid w:val="00C839BC"/>
    <w:rsid w:val="00CA3D64"/>
    <w:rsid w:val="00CB22BB"/>
    <w:rsid w:val="00CB3D89"/>
    <w:rsid w:val="00CB3D8E"/>
    <w:rsid w:val="00CC3DBF"/>
    <w:rsid w:val="00CD3D10"/>
    <w:rsid w:val="00CE2717"/>
    <w:rsid w:val="00CE2905"/>
    <w:rsid w:val="00CE546B"/>
    <w:rsid w:val="00CF090A"/>
    <w:rsid w:val="00D06A59"/>
    <w:rsid w:val="00D36BCA"/>
    <w:rsid w:val="00D54A5F"/>
    <w:rsid w:val="00D54F69"/>
    <w:rsid w:val="00D66397"/>
    <w:rsid w:val="00D75916"/>
    <w:rsid w:val="00DE2F84"/>
    <w:rsid w:val="00DF1DA0"/>
    <w:rsid w:val="00DF238B"/>
    <w:rsid w:val="00E00EBC"/>
    <w:rsid w:val="00E01CFE"/>
    <w:rsid w:val="00E030C6"/>
    <w:rsid w:val="00E1300E"/>
    <w:rsid w:val="00E45FD0"/>
    <w:rsid w:val="00E62F24"/>
    <w:rsid w:val="00E72096"/>
    <w:rsid w:val="00E77E9F"/>
    <w:rsid w:val="00EA1F63"/>
    <w:rsid w:val="00EA45A8"/>
    <w:rsid w:val="00EB282C"/>
    <w:rsid w:val="00EC7E8D"/>
    <w:rsid w:val="00EE2F0E"/>
    <w:rsid w:val="00EE6FC0"/>
    <w:rsid w:val="00EF3BEA"/>
    <w:rsid w:val="00F069AC"/>
    <w:rsid w:val="00F07279"/>
    <w:rsid w:val="00F159B1"/>
    <w:rsid w:val="00F470A8"/>
    <w:rsid w:val="00F82A6F"/>
    <w:rsid w:val="00FB4405"/>
    <w:rsid w:val="00FE6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DB5"/>
    <w:pPr>
      <w:ind w:left="720"/>
      <w:contextualSpacing/>
    </w:pPr>
  </w:style>
  <w:style w:type="table" w:styleId="TableGrid">
    <w:name w:val="Table Grid"/>
    <w:basedOn w:val="TableNormal"/>
    <w:uiPriority w:val="59"/>
    <w:rsid w:val="006B36CA"/>
    <w:pPr>
      <w:spacing w:after="0" w:line="240" w:lineRule="auto"/>
    </w:pPr>
    <w:rPr>
      <w:lang w:val="hr-H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4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F5DAD-CF7E-4C58-BD7B-4DB456B1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7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pnovakovic</dc:creator>
  <cp:keywords/>
  <dc:description/>
  <cp:lastModifiedBy>dlazic</cp:lastModifiedBy>
  <cp:revision>75</cp:revision>
  <cp:lastPrinted>2019-03-01T14:20:00Z</cp:lastPrinted>
  <dcterms:created xsi:type="dcterms:W3CDTF">2016-03-03T08:57:00Z</dcterms:created>
  <dcterms:modified xsi:type="dcterms:W3CDTF">2020-02-19T07:40:00Z</dcterms:modified>
</cp:coreProperties>
</file>