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A8" w:rsidRPr="00460F86" w:rsidRDefault="00E70BA8" w:rsidP="002824D5">
      <w:pPr>
        <w:pStyle w:val="BodyText"/>
        <w:ind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члана 16. став (1) Закона о 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Српске“, број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03B7E">
        <w:rPr>
          <w:rFonts w:ascii="Times New Roman" w:hAnsi="Times New Roman" w:cs="Times New Roman"/>
          <w:sz w:val="24"/>
          <w:szCs w:val="24"/>
        </w:rPr>
        <w:t xml:space="preserve"> 90/17), чл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39. став (2) тачка 9) и </w:t>
      </w:r>
      <w:r w:rsidR="004C17E2">
        <w:rPr>
          <w:rFonts w:ascii="Times New Roman" w:hAnsi="Times New Roman" w:cs="Times New Roman"/>
          <w:sz w:val="24"/>
          <w:szCs w:val="24"/>
        </w:rPr>
        <w:t>37)</w:t>
      </w:r>
      <w:r w:rsidRPr="00AE3C1B">
        <w:rPr>
          <w:rFonts w:ascii="Times New Roman" w:hAnsi="Times New Roman" w:cs="Times New Roman"/>
          <w:sz w:val="24"/>
          <w:szCs w:val="24"/>
        </w:rPr>
        <w:t xml:space="preserve"> Закона о 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самоуправи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Српске“, број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и 36/19</w:t>
      </w:r>
      <w:r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003B7E">
        <w:rPr>
          <w:rFonts w:ascii="Times New Roman" w:hAnsi="Times New Roman" w:cs="Times New Roman"/>
          <w:sz w:val="24"/>
          <w:szCs w:val="24"/>
        </w:rPr>
        <w:t>и чл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003B7E">
        <w:rPr>
          <w:rFonts w:ascii="Times New Roman" w:hAnsi="Times New Roman" w:cs="Times New Roman"/>
          <w:sz w:val="24"/>
          <w:szCs w:val="24"/>
        </w:rPr>
        <w:t xml:space="preserve">39. став 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03B7E">
        <w:rPr>
          <w:rFonts w:ascii="Times New Roman" w:hAnsi="Times New Roman" w:cs="Times New Roman"/>
          <w:sz w:val="24"/>
          <w:szCs w:val="24"/>
        </w:rPr>
        <w:t>2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03B7E">
        <w:rPr>
          <w:rFonts w:ascii="Times New Roman" w:hAnsi="Times New Roman" w:cs="Times New Roman"/>
          <w:sz w:val="24"/>
          <w:szCs w:val="24"/>
        </w:rPr>
        <w:t xml:space="preserve"> 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4C17E2">
        <w:rPr>
          <w:rFonts w:ascii="Times New Roman" w:hAnsi="Times New Roman" w:cs="Times New Roman"/>
          <w:sz w:val="24"/>
          <w:szCs w:val="24"/>
        </w:rPr>
        <w:t>ачка 9) и 43)</w:t>
      </w:r>
      <w:r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>“, број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E3C1B">
        <w:rPr>
          <w:rFonts w:ascii="Times New Roman" w:hAnsi="Times New Roman" w:cs="Times New Roman"/>
          <w:sz w:val="24"/>
          <w:szCs w:val="24"/>
        </w:rPr>
        <w:t xml:space="preserve"> 4/17), 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____</w:t>
      </w:r>
      <w:r w:rsidRPr="00AE3C1B"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одржаној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 w:rsidR="00460F86">
        <w:rPr>
          <w:rFonts w:ascii="Times New Roman" w:hAnsi="Times New Roman" w:cs="Times New Roman"/>
          <w:sz w:val="24"/>
          <w:szCs w:val="24"/>
        </w:rPr>
        <w:t>године, д</w:t>
      </w:r>
      <w:r w:rsidR="00460F86">
        <w:rPr>
          <w:rFonts w:ascii="Times New Roman" w:hAnsi="Times New Roman" w:cs="Times New Roman"/>
          <w:sz w:val="24"/>
          <w:szCs w:val="24"/>
          <w:lang w:val="sr-Cyrl-CS"/>
        </w:rPr>
        <w:t>онијела је</w:t>
      </w:r>
    </w:p>
    <w:p w:rsidR="00460F86" w:rsidRPr="00460F86" w:rsidRDefault="00460F86" w:rsidP="002824D5">
      <w:pPr>
        <w:pStyle w:val="BodyText"/>
        <w:ind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Default="00E70BA8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 w:rsidRPr="00AE3C1B">
        <w:rPr>
          <w:rFonts w:ascii="Times New Roman" w:hAnsi="Times New Roman" w:cs="Times New Roman"/>
          <w:sz w:val="24"/>
          <w:szCs w:val="24"/>
        </w:rPr>
        <w:t>П Р О Г Р А М</w:t>
      </w:r>
    </w:p>
    <w:p w:rsidR="00460F86" w:rsidRPr="00460F86" w:rsidRDefault="00460F8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МЈЕРА СИСТЕМАТСКЕ ПРЕВЕНТИВНЕ ДЕЗИНСЕКЦИЈЕ И ДЕРАТИЗАЦИЈЕ ЗА ПОДРУЧЈЕ ГРАДА БИЈЕЉИНА ЗА 2020. ГОДИНУ</w:t>
      </w:r>
    </w:p>
    <w:p w:rsidR="00460F86" w:rsidRDefault="00460F86" w:rsidP="00460F86">
      <w:pPr>
        <w:pStyle w:val="BodyText"/>
        <w:spacing w:before="136"/>
        <w:ind w:left="1190" w:right="405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159D" w:rsidRPr="00BB159D" w:rsidRDefault="00BB159D" w:rsidP="00460F86">
      <w:pPr>
        <w:pStyle w:val="BodyText"/>
        <w:spacing w:before="136"/>
        <w:ind w:left="1190" w:right="405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70BA8" w:rsidRPr="00AE3C1B" w:rsidRDefault="00E70BA8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 w:rsidRPr="00AE3C1B"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У 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чла</w:t>
      </w:r>
      <w:r>
        <w:rPr>
          <w:rFonts w:ascii="Times New Roman" w:hAnsi="Times New Roman" w:cs="Times New Roman"/>
          <w:sz w:val="24"/>
          <w:szCs w:val="24"/>
        </w:rPr>
        <w:t xml:space="preserve">ном 7. став (3) Законао заштити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90/17), 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општих, посебних, ванредних и 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болести. 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континуирано, а 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дезинфекције, дезинсекције и дератизације (ДДД) 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површинама, 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мјестима,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пиће,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производњу и прометхране и 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употребе,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производњу, 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превоз, објектима и 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материја,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установа, објектима и 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саобраћаја, 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објектима и двориштима, 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окупљања и 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људи и 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друштава, 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правних и 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лица.</w:t>
      </w:r>
    </w:p>
    <w:p w:rsidR="00E70BA8" w:rsidRPr="00AE3C1B" w:rsidRDefault="00E70BA8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превентивна ДДД 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 у 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становништва, 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 и 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заразе, 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обољења,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становништва.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E70BA8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 xml:space="preserve"> 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планиране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мјере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смањења, 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раста и 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глодара.</w:t>
      </w:r>
    </w:p>
    <w:p w:rsidR="00E70BA8" w:rsidRPr="00AE3C1B" w:rsidRDefault="00E70BA8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B64F84"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заштите у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су: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површина и простора;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површина 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простора;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раст и 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хране и 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грађевинско-техничких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улажење, задржавање и 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мјера;</w:t>
      </w:r>
    </w:p>
    <w:p w:rsidR="00E70BA8" w:rsidRPr="00AE3C1B" w:rsidRDefault="00E70BA8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 xml:space="preserve">тј. </w:t>
      </w:r>
      <w:r w:rsidR="00AE3C1B" w:rsidRPr="00AE3C1B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микроорганизме, 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инсекте 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глодаре.</w:t>
      </w:r>
    </w:p>
    <w:p w:rsidR="00801E5D" w:rsidRDefault="00801E5D" w:rsidP="00BB159D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Default="00BB159D" w:rsidP="00BB159D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Pr="00AE3C1B" w:rsidRDefault="00BB159D" w:rsidP="00BB159D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превентивна ДДД 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заразиих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 у 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Правилником о 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дезинфекције, дезинсекције и дератизације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118/18) и Правилником о условима и 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кадар, простор и опрему и о 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извођача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 број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Обавезну ДДД 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установе и 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лица, 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801E5D" w:rsidRPr="00AE3C1B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E70BA8" w:rsidRPr="00AE3C1B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здравља и 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врсту и у 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израдити:</w:t>
      </w:r>
    </w:p>
    <w:p w:rsidR="00E70BA8" w:rsidRPr="009B61B6" w:rsidRDefault="00E70BA8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 w:rsidRPr="009B61B6"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површина и простора, 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то:</w:t>
      </w:r>
    </w:p>
    <w:p w:rsidR="00E70BA8" w:rsidRPr="00AE3C1B" w:rsidRDefault="005A195D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>дредити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површина и простора у односу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онечишћење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микроорганизмима и присутност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глодара,</w:t>
      </w:r>
    </w:p>
    <w:p w:rsidR="00E70BA8" w:rsidRPr="00AE3C1B" w:rsidRDefault="005A195D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>тврдити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степен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инфестације и насталу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штету,</w:t>
      </w:r>
    </w:p>
    <w:p w:rsidR="00E70BA8" w:rsidRPr="00AE3C1B" w:rsidRDefault="005A195D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>дредити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узрочника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штете и одредити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смањити,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размиожавање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потпуно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уклонити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>кро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организама,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глодара,</w:t>
      </w:r>
    </w:p>
    <w:p w:rsidR="00E70BA8" w:rsidRPr="009B61B6" w:rsidRDefault="00E70BA8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 w:rsidRPr="009B61B6"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документацију:</w:t>
      </w:r>
    </w:p>
    <w:p w:rsidR="00E70BA8" w:rsidRPr="00AE3C1B" w:rsidRDefault="005A195D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аписати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препоруке и приједлог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ДДД,</w:t>
      </w:r>
    </w:p>
    <w:p w:rsidR="00E70BA8" w:rsidRPr="00AE3C1B" w:rsidRDefault="005A195D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аписати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препоруке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санације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околине и накритичним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тачкама,</w:t>
      </w:r>
    </w:p>
    <w:p w:rsidR="00E70BA8" w:rsidRPr="00AE3C1B" w:rsidRDefault="005A195D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аписати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>епоруке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едукацију (написати и подијелити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упутства и летке).</w:t>
      </w:r>
    </w:p>
    <w:p w:rsidR="00E70BA8" w:rsidRPr="009B61B6" w:rsidRDefault="00E70BA8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 w:rsidRPr="009B61B6"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обавезне ДДД 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садржи:</w:t>
      </w:r>
    </w:p>
    <w:p w:rsidR="00E70BA8" w:rsidRPr="00AE3C1B" w:rsidRDefault="005A195D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>пис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спроводи,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Д</w:t>
      </w:r>
      <w:r w:rsidR="00E70BA8" w:rsidRPr="009B61B6">
        <w:rPr>
          <w:rFonts w:ascii="Times New Roman" w:hAnsi="Times New Roman" w:cs="Times New Roman"/>
          <w:sz w:val="24"/>
          <w:szCs w:val="24"/>
        </w:rPr>
        <w:t>етаљно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разрађен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просторни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распоред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рада и рокове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обављања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Н</w:t>
      </w:r>
      <w:r w:rsidR="00E70BA8" w:rsidRPr="009B61B6">
        <w:rPr>
          <w:rFonts w:ascii="Times New Roman" w:hAnsi="Times New Roman" w:cs="Times New Roman"/>
          <w:sz w:val="24"/>
          <w:szCs w:val="24"/>
        </w:rPr>
        <w:t>ачин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обраде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површина, простора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или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објеката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примјеном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једне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или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више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М</w:t>
      </w:r>
      <w:r w:rsidR="00E70BA8" w:rsidRPr="009B61B6">
        <w:rPr>
          <w:rFonts w:ascii="Times New Roman" w:hAnsi="Times New Roman" w:cs="Times New Roman"/>
          <w:sz w:val="24"/>
          <w:szCs w:val="24"/>
        </w:rPr>
        <w:t>јере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опреза, заштиту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особља, простора, објеката 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околине,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П</w:t>
      </w:r>
      <w:r w:rsidR="00E70BA8" w:rsidRPr="009B61B6">
        <w:rPr>
          <w:rFonts w:ascii="Times New Roman" w:hAnsi="Times New Roman" w:cs="Times New Roman"/>
          <w:sz w:val="24"/>
          <w:szCs w:val="24"/>
        </w:rPr>
        <w:t>риједлог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додатних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за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извршење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поправки у току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спровођења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О</w:t>
      </w:r>
      <w:r w:rsidR="00E70BA8" w:rsidRPr="009B61B6">
        <w:rPr>
          <w:rFonts w:ascii="Times New Roman" w:hAnsi="Times New Roman" w:cs="Times New Roman"/>
          <w:sz w:val="24"/>
          <w:szCs w:val="24"/>
        </w:rPr>
        <w:t>бавезне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превентивне ДДД (допунска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обрада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или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промјена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мјере),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попи</w:t>
      </w:r>
      <w:r w:rsidR="005A195D" w:rsidRPr="009B61B6">
        <w:rPr>
          <w:rFonts w:ascii="Times New Roman" w:hAnsi="Times New Roman" w:cs="Times New Roman"/>
          <w:sz w:val="24"/>
          <w:szCs w:val="24"/>
        </w:rPr>
        <w:t>сн</w:t>
      </w:r>
      <w:r w:rsidRPr="009B61B6">
        <w:rPr>
          <w:rFonts w:ascii="Times New Roman" w:hAnsi="Times New Roman" w:cs="Times New Roman"/>
          <w:sz w:val="24"/>
          <w:szCs w:val="24"/>
        </w:rPr>
        <w:t>ица, 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простора у 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спроводи,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почетка 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завршетка,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обавјештавања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грађана, 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службе, 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инспекције 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других,</w:t>
      </w:r>
    </w:p>
    <w:p w:rsidR="009B61B6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радника 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екипама,</w:t>
      </w:r>
    </w:p>
    <w:p w:rsidR="009B61B6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средства и 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користити, 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примјене,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околине.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 (Оперативни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план) 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</w:t>
      </w:r>
      <w:r w:rsidR="004C17E2">
        <w:rPr>
          <w:rFonts w:ascii="Times New Roman" w:hAnsi="Times New Roman" w:cs="Times New Roman"/>
          <w:sz w:val="24"/>
          <w:szCs w:val="24"/>
        </w:rPr>
        <w:t>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здравство (у 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тексту: Институт) 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члану 16. став (3) Закона о 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90/17), 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 о 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дезинсекције и дератизације, а висину и 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трошкова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Института. 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Института, 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до</w:t>
      </w:r>
      <w:r w:rsidR="00801E5D" w:rsidRPr="00AE3C1B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инспекцији.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 ДДД 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становништво и 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субјекте о времену, мјесту и 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ДДД, 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упутства о општим и 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 и безбједности (сигурности) 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становништво и 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ДДД.</w:t>
      </w: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У 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Законом о 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болести, правна и 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болести. 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кажњавати у 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Закона о 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Ко</w:t>
      </w:r>
      <w:r w:rsidR="00C83D01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тролу и 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Институт- Закон о 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90/17), члан 16. став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Закону о 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16. став (6) 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 ДДД 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Института, о 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дезинсекције и дератизације. Висину и 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Ситуација и 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E70BA8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иисекти и 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сузбијање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Pr="00AE3C1B"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Српскусу: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а) 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Комарци, 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 у 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маларије, денге, 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грознице, 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грозница ифилиријазе;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Муве, 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салмонелоза, шигелоза, 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вирусе, 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хепатитиса А, 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паразита;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Буве, 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туларемије, хеморагичнегрозницесабубрежнимсиндромом, муриногпјегавца, руралне и 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куге,  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дерматитиса;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Флеботоми (невиди) 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грознице и кожне и висцералнелајшманијазе.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б) 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 и 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E70BA8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Жохари (бубашвабе, буберуси), 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инфекција, дизентерије, 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тифуса и 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болести. 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присутност у просторијама у 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преко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човјека.</w:t>
      </w:r>
    </w:p>
    <w:p w:rsidR="00E70BA8" w:rsidRPr="009B61B6" w:rsidRDefault="00E70BA8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низ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бактерија, посебно у болницама (фараонски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мрав). 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значајне.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в) 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глодари</w:t>
      </w:r>
    </w:p>
    <w:p w:rsidR="00E70BA8" w:rsidRPr="00AE3C1B" w:rsidRDefault="00C83D01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Ц</w:t>
      </w:r>
      <w:r w:rsidR="00E70BA8" w:rsidRPr="00AE3C1B">
        <w:rPr>
          <w:rFonts w:ascii="Times New Roman" w:hAnsi="Times New Roman" w:cs="Times New Roman"/>
          <w:sz w:val="24"/>
          <w:szCs w:val="24"/>
        </w:rPr>
        <w:t>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 (Rattusrattus),</w:t>
      </w:r>
    </w:p>
    <w:p w:rsidR="00E70BA8" w:rsidRPr="00AE3C1B" w:rsidRDefault="00C83D01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>ацов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плодојед (Rattus rattus var. frungivorus),</w:t>
      </w:r>
    </w:p>
    <w:p w:rsidR="00E70BA8" w:rsidRPr="00AE3C1B" w:rsidRDefault="00FB105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>лександријски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 (Rattus rattus var.alexandrinus),</w:t>
      </w:r>
    </w:p>
    <w:p w:rsidR="00E70BA8" w:rsidRPr="00AE3C1B" w:rsidRDefault="00FB105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sz w:val="24"/>
          <w:szCs w:val="24"/>
        </w:rPr>
        <w:t>иви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селац (Rattus norvegicus),</w:t>
      </w:r>
    </w:p>
    <w:p w:rsidR="00E70BA8" w:rsidRPr="00AE3C1B" w:rsidRDefault="00E70BA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кућни</w:t>
      </w:r>
      <w:r w:rsidRPr="00AE3C1B">
        <w:rPr>
          <w:rFonts w:ascii="Times New Roman" w:hAnsi="Times New Roman" w:cs="Times New Roman"/>
          <w:sz w:val="24"/>
          <w:szCs w:val="24"/>
        </w:rPr>
        <w:tab/>
        <w:t>миш</w:t>
      </w:r>
      <w:r w:rsidRPr="00AE3C1B">
        <w:rPr>
          <w:rFonts w:ascii="Times New Roman" w:hAnsi="Times New Roman" w:cs="Times New Roman"/>
          <w:sz w:val="24"/>
          <w:szCs w:val="24"/>
        </w:rPr>
        <w:tab/>
        <w:t>(Mus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musculus </w:t>
      </w:r>
      <w:r w:rsidRPr="00AE3C1B">
        <w:rPr>
          <w:rFonts w:ascii="Times New Roman" w:hAnsi="Times New Roman" w:cs="Times New Roman"/>
          <w:sz w:val="24"/>
          <w:szCs w:val="24"/>
        </w:rPr>
        <w:t>domesticus),</w:t>
      </w:r>
    </w:p>
    <w:p w:rsidR="00E70BA8" w:rsidRPr="00AE3C1B" w:rsidRDefault="00E70BA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други</w:t>
      </w:r>
      <w:r w:rsidRPr="00AE3C1B">
        <w:rPr>
          <w:rFonts w:ascii="Times New Roman" w:hAnsi="Times New Roman" w:cs="Times New Roman"/>
          <w:sz w:val="24"/>
          <w:szCs w:val="24"/>
        </w:rPr>
        <w:tab/>
        <w:t>штетни</w:t>
      </w:r>
      <w:r w:rsidRPr="00AE3C1B">
        <w:rPr>
          <w:rFonts w:ascii="Times New Roman" w:hAnsi="Times New Roman" w:cs="Times New Roman"/>
          <w:sz w:val="24"/>
          <w:szCs w:val="24"/>
        </w:rPr>
        <w:tab/>
        <w:t>глодари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4"/>
          <w:sz w:val="24"/>
          <w:szCs w:val="24"/>
        </w:rPr>
        <w:t>(пољски</w:t>
      </w:r>
      <w:r w:rsidRPr="00AE3C1B">
        <w:rPr>
          <w:rFonts w:ascii="Times New Roman" w:hAnsi="Times New Roman" w:cs="Times New Roman"/>
          <w:sz w:val="24"/>
          <w:szCs w:val="24"/>
        </w:rPr>
        <w:t>миш,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волухарица).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значај: 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резервоари и/или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су: куга, 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грознице, 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синдромом, л</w:t>
      </w:r>
      <w:r w:rsidR="009B61B6">
        <w:rPr>
          <w:rFonts w:ascii="Times New Roman" w:hAnsi="Times New Roman" w:cs="Times New Roman"/>
          <w:sz w:val="24"/>
          <w:szCs w:val="24"/>
        </w:rPr>
        <w:t xml:space="preserve">ептоспироза, туларемија, мурини </w:t>
      </w:r>
      <w:r w:rsidRPr="00AE3C1B">
        <w:rPr>
          <w:rFonts w:ascii="Times New Roman" w:hAnsi="Times New Roman" w:cs="Times New Roman"/>
          <w:sz w:val="24"/>
          <w:szCs w:val="24"/>
        </w:rPr>
        <w:t>пјегавац,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токсоплазмоза,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лајшманијаза, самонелозе, трихинелоза, трипаносомијаза, 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угриза (Sodoku), бјеснило,итд.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превентивие ДДД 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подручја, тебиологије и 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инсеката и 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подручје.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РепубликуСрпску, трајно и 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 у 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спроводиит у 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корака:</w:t>
      </w:r>
    </w:p>
    <w:p w:rsidR="00E70BA8" w:rsidRPr="00AE3C1B" w:rsidRDefault="00E70BA8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надзором у 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инфестације и 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подржавају,</w:t>
      </w:r>
    </w:p>
    <w:p w:rsidR="00E70BA8" w:rsidRPr="00AE3C1B" w:rsidRDefault="00E70BA8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 ДДД 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инфестација, 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недостатака у санитацији и околини и 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резултата,</w:t>
      </w:r>
    </w:p>
    <w:p w:rsidR="00E70BA8" w:rsidRPr="00AE3C1B" w:rsidRDefault="00E70BA8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увид и 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праћење (мониторинг), 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корисника ДДД 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интервенције.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E3C1B"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мјера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Рокови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 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 ДДД 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одређени, 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инфестацијана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нивоу, а 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видимо у 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бр. 1. </w:t>
      </w:r>
      <w:r w:rsidR="00BA577C">
        <w:rPr>
          <w:rFonts w:ascii="Times New Roman" w:hAnsi="Times New Roman" w:cs="Times New Roman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sz w:val="24"/>
          <w:szCs w:val="24"/>
        </w:rPr>
        <w:t>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сљедећи:</w:t>
      </w:r>
    </w:p>
    <w:p w:rsidR="00E70BA8" w:rsidRPr="00AE3C1B" w:rsidRDefault="00E70BA8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број 1, Рокови и 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мјера ДДД 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E70BA8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п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ревентивне</w:t>
            </w:r>
          </w:p>
          <w:p w:rsidR="00E70BA8" w:rsidRPr="00AE3C1B" w:rsidRDefault="00E70BA8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E70BA8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E70BA8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 и 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употребе, 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632953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Њ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 и 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мјесечно)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3 мјесеца, 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 1 х годишње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 и 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2 х годишње)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Васпитно-образовни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 (стубишта, подруми, лифтови, 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системи, поткровља) и дворишта.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2 х годишње)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 (радне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просторије, 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површине, 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 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 и 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 и 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2 х годишње).</w:t>
            </w:r>
          </w:p>
        </w:tc>
      </w:tr>
    </w:tbl>
    <w:p w:rsidR="00E70BA8" w:rsidRPr="00BA577C" w:rsidRDefault="00E70BA8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 w:rsidRPr="00BA577C">
        <w:rPr>
          <w:rFonts w:ascii="Times New Roman" w:hAnsi="Times New Roman" w:cs="Times New Roman"/>
          <w:w w:val="105"/>
          <w:sz w:val="20"/>
          <w:szCs w:val="20"/>
        </w:rPr>
        <w:t>Напомена: 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Институт и 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инспекција 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појавом и 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болести.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дезинфекције и дезинсекције у објектима у 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намирнице, 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онечишћења, као и 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производима.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просторима у 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намирница, 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поставити у 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заштићене, затаворене и 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евиденције о 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постављања, 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онечишћења.</w:t>
      </w:r>
    </w:p>
    <w:p w:rsidR="00E70BA8" w:rsidRPr="00BB159D" w:rsidRDefault="00BA577C" w:rsidP="00BB159D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 у објектима у 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рнице,треба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саку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E70BA8" w:rsidRPr="00F542E3" w:rsidRDefault="00E70BA8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 w:rsidRPr="00BA577C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механичке,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спроводе у 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надзору. 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плану, а 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некориштења, а 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употребе. 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надзором у 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потврде о 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установа.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 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 и 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надзору, а предузимајусе у 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ситуацијама: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 у 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неправилиости у 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материјала, 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отпада.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E70BA8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A577C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 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циљем: 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задржавања и размиожавања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инсеката, 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инсеката, 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хигијенских и санитарно- 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услова.</w:t>
      </w:r>
    </w:p>
    <w:p w:rsidR="00E70BA8" w:rsidRPr="00AE3C1B" w:rsidRDefault="00E70BA8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физичке, биолошке 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мјере.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A577C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 xml:space="preserve"> а 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 у 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ситуацијама: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 у 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у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BB159D" w:rsidRDefault="00E70BA8" w:rsidP="00BB159D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скупова,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спортских и 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манифестација.</w:t>
      </w:r>
    </w:p>
    <w:p w:rsidR="00E70BA8" w:rsidRPr="00BA577C" w:rsidRDefault="00E70BA8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sz w:val="24"/>
          <w:szCs w:val="24"/>
        </w:rPr>
        <w:lastRenderedPageBreak/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77C">
        <w:rPr>
          <w:rFonts w:ascii="Times New Roman" w:hAnsi="Times New Roman" w:cs="Times New Roman"/>
          <w:b/>
          <w:sz w:val="24"/>
          <w:szCs w:val="24"/>
        </w:rPr>
        <w:t>(Аrthropoda),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77C"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577C"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E70BA8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sz w:val="24"/>
          <w:szCs w:val="24"/>
        </w:rPr>
        <w:t>Комарци и невиди (флеботоми)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BB159D" w:rsidRDefault="00BA577C" w:rsidP="00BB159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 и 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плански,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организовано и 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сузбијања, 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узорковања и 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комараца, 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ових и 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фактора и 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сузбијање. 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 у 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мјера,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најавжније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Аnopheles, Aedes и Culex, а 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подручја, климатских, еко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биолошких и 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услова. 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податке о 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 у 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Српској, 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мониторинг.</w:t>
      </w:r>
    </w:p>
    <w:p w:rsidR="00E70BA8" w:rsidRPr="00AE3C1B" w:rsidRDefault="00BA577C" w:rsidP="00F9245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садржавати: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 и 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легла,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бројност и 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узимајући у 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подручја,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падавине, 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ријека, температура, 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итд,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комараца, као и 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вода,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воде у 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сузбијањем,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грађана о 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становништво.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нивоа, 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бригу о 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подручја (биодиверзитет):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развој и размножавање и 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сузбијања. У 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прати и 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видљивих и 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вода- 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затрпавање, 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вода, 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отпадапог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одногза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становништв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нивоа;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а) 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Гамбус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иаафинис у 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накупине (локве, баре, стајаћице), 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околинете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разноликости;</w:t>
      </w:r>
    </w:p>
    <w:p w:rsidR="00F92456" w:rsidRPr="00AE3C1B" w:rsidRDefault="00F542E3" w:rsidP="004F4D55">
      <w:pPr>
        <w:spacing w:before="5" w:line="247" w:lineRule="auto"/>
        <w:ind w:righ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б) 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бази Bacillus thurigiensis var. Izraelensis у 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облику, 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гранула, 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брикета, 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гранулисањаса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возила, 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хеликоптера, 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lastRenderedPageBreak/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сваке 3 седмице у сезони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 у 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водама;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сузбијања: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а) 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регуалтора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раста у 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течности, 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 у 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б) 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ларвицида у 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прашака, текућина, 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компреса, 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накупина и реципијената (локве, 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канали, баре, стајаћице), 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тло, 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ливаде, против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воде, 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отвори,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јаме, зависно о 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сваке 3-4 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прскалица, гранул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возила, 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упутсвту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произвођача,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врсти, намјени, 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загађености и 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површина. 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стоји 10-ак 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комараца. 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 и 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прихватљивије у 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фауне у 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третман.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в) 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третман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избора у 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Института у 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комараца, 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третману. Проводи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поступцима:</w:t>
      </w:r>
    </w:p>
    <w:p w:rsidR="00E70BA8" w:rsidRPr="00AE3C1B" w:rsidRDefault="00E70BA8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(запрашивање)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простора,</w:t>
      </w:r>
    </w:p>
    <w:p w:rsidR="00E70BA8" w:rsidRPr="00AE3C1B" w:rsidRDefault="00E70BA8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инсектицида,</w:t>
      </w:r>
    </w:p>
    <w:p w:rsidR="00E70BA8" w:rsidRPr="00AE3C1B" w:rsidRDefault="00E70BA8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замгљивања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површина. 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мјеста.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услове:</w:t>
      </w:r>
    </w:p>
    <w:p w:rsidR="00E70BA8" w:rsidRPr="00AE3C1B" w:rsidRDefault="00E70BA8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а) 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вршити у 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дана, 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испод 4 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час, 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изнад 15 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целзијуса и 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ваздуха. 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неселективни, 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 и 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и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околин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у 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материјама, 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биодиверзитета;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б) 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обавијестити о 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мјера, 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супстанци, времену, циљу, 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становника, а 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пчеле;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в) 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учинак у 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новац, 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оправданим, 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популације, 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ларве у 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реципијентима, 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инсеката, 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што, с обизром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ефикасност, а 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знатнуеколошку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штету.</w:t>
      </w:r>
    </w:p>
    <w:p w:rsidR="00E70BA8" w:rsidRPr="00AE3C1B" w:rsidRDefault="00E70BA8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 xml:space="preserve">невида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 xml:space="preserve"> незахтијева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мјере, 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дезинсекција (комарци,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муве) пр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ед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уједно и 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невида. У 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појавео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lastRenderedPageBreak/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преносе (кожна и висцералналајшманијаза, 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грозница), с 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средством у 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тамним, хладнијим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просторима,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 xml:space="preserve">рупама,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пукотинама, полу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пећинама, шталама и 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перади у 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невиди.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Рокови, динамика и 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Прогармом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мјера, избор, врста и 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препарата, 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основу:</w:t>
      </w:r>
    </w:p>
    <w:p w:rsidR="00E70BA8" w:rsidRPr="00AE3C1B" w:rsidRDefault="00E70BA8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односио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 и 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надзорм,</w:t>
      </w:r>
    </w:p>
    <w:p w:rsidR="00E70BA8" w:rsidRPr="00AE3C1B" w:rsidRDefault="00E70BA8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ножаца, 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биолошких и 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карактеристика,</w:t>
      </w:r>
    </w:p>
    <w:p w:rsidR="00E70BA8" w:rsidRPr="00AE3C1B" w:rsidRDefault="00E70BA8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проширености и 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чланконожаца,</w:t>
      </w:r>
    </w:p>
    <w:p w:rsidR="00014A97" w:rsidRPr="00BB159D" w:rsidRDefault="00E70BA8" w:rsidP="00014A97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увида о својствима и 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надзором.</w:t>
      </w:r>
    </w:p>
    <w:p w:rsidR="00BB159D" w:rsidRPr="00BB159D" w:rsidRDefault="00BB159D" w:rsidP="00BB159D">
      <w:pPr>
        <w:pStyle w:val="ListParagraph"/>
        <w:tabs>
          <w:tab w:val="left" w:pos="1407"/>
        </w:tabs>
        <w:spacing w:line="244" w:lineRule="auto"/>
        <w:ind w:left="1406" w:right="651" w:firstLine="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014A97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F542E3"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 у 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надзору, 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 у 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хигијене,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посебн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амјера.</w:t>
      </w:r>
    </w:p>
    <w:p w:rsidR="00014A97" w:rsidRPr="00BB159D" w:rsidRDefault="00F542E3" w:rsidP="00BB159D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 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садржава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изворишта, узорковање, 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бројности и 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миграције, те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борбе.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начина:</w:t>
      </w:r>
    </w:p>
    <w:p w:rsidR="00014A97" w:rsidRPr="00AE3C1B" w:rsidRDefault="00014A97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околине;</w:t>
      </w:r>
    </w:p>
    <w:p w:rsidR="00014A97" w:rsidRPr="00AE3C1B" w:rsidRDefault="00014A97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инсектицидима, 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то:</w:t>
      </w:r>
    </w:p>
    <w:p w:rsidR="00014A97" w:rsidRPr="00F542E3" w:rsidRDefault="00014A97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сузбијање ларви,</w:t>
      </w:r>
    </w:p>
    <w:p w:rsidR="00014A97" w:rsidRPr="00F542E3" w:rsidRDefault="00014A97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обрада узгојних </w:t>
      </w:r>
      <w:r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мјеста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ларвицидима;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014A97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облика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Обрада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резидуалнимин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сектицидима,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Уношење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мува,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Привлачење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апомоћу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мамаца,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Обрада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затворених и отворених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простора.</w:t>
      </w:r>
    </w:p>
    <w:p w:rsidR="00014A97" w:rsidRPr="00F542E3" w:rsidRDefault="00014A97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ројења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мува.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Pr="00BB159D" w:rsidRDefault="00F542E3" w:rsidP="00BB159D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врсте Sepsis sp. 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Drozophilla sp. у 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станопвништво, 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 и 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једнократно. 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отвореном и 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инфестације, 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становништво и 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инсеката. Стога у 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одлуку 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врте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lastRenderedPageBreak/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извиђања и процјене, 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сузбијања.</w:t>
      </w:r>
    </w:p>
    <w:p w:rsidR="00014A97" w:rsidRPr="00F542E3" w:rsidRDefault="00014A97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F542E3"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досежезнатне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размјере, 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014A97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A577C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 и 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циљем:</w:t>
      </w:r>
    </w:p>
    <w:p w:rsidR="00014A97" w:rsidRPr="00F542E3" w:rsidRDefault="00014A97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Спречавања </w:t>
      </w:r>
      <w:r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улажења,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задржавања и размножавања штетних глодара,</w:t>
      </w:r>
    </w:p>
    <w:p w:rsidR="00014A97" w:rsidRPr="00F542E3" w:rsidRDefault="00014A97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Смањења популације штетних глодара и</w:t>
      </w:r>
    </w:p>
    <w:p w:rsidR="00014A97" w:rsidRPr="00F542E3" w:rsidRDefault="00014A97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Одржавања популације штетних глодара на </w:t>
      </w:r>
      <w:r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биолошки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прихватљивом минимуму ради осигурања квалитетних хигијенски и санитарно-техничких услова у објектима, просторима и на јавним површинама под санитарним надзором.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014A97" w:rsidP="00F542E3">
      <w:pPr>
        <w:tabs>
          <w:tab w:val="left" w:pos="2973"/>
        </w:tabs>
        <w:spacing w:line="247" w:lineRule="auto"/>
        <w:ind w:right="65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против</w:t>
      </w:r>
      <w:r w:rsidR="00F542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епидемијска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дератизација, као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 и хемијске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надзору, а предузимају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ситуацијама: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Ако постоји повећан ризик преношења заразних болести које преносе штетни глодари на основу епидемиолошких индикација,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Ако популација штетних глодара пређе праг штетности,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Ако се одреди штета на залихама хране настале дјеловањем штетних глодара,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Ако су у санитарном надзору уочене неправилности </w:t>
      </w:r>
      <w:r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у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одржавању објеката које погодују развоју штетних глодара,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Током елементарних непогода и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Током масовних скупова, спортских и осталих манифестација.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глодара, 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глодара, 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мека (родентицида), 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инфестације, 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доводедо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глодара.</w:t>
      </w:r>
    </w:p>
    <w:p w:rsidR="00014A97" w:rsidRPr="00AE3C1B" w:rsidRDefault="00F542E3" w:rsidP="00014A97">
      <w:pPr>
        <w:spacing w:before="5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 у 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акције. 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марта, априла и маја, а 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септембра, октобра и новембра. 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Институт. 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регулисани: простори и 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обухвата, динамика и 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извођења, мјерезаштите и др.</w:t>
      </w:r>
    </w:p>
    <w:p w:rsidR="00014A97" w:rsidRPr="00AE3C1B" w:rsidRDefault="00F542E3" w:rsidP="00014A97">
      <w:pPr>
        <w:spacing w:before="12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прољетне и 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дужнио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грађана, 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Института.</w:t>
      </w:r>
    </w:p>
    <w:p w:rsidR="00014A97" w:rsidRPr="00AE3C1B" w:rsidRDefault="00014A97" w:rsidP="00014A97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Избор средстава за </w:t>
      </w:r>
      <w:r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спровођење </w:t>
      </w: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мјера 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(биоцида)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ДДД 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>к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ом о 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биоцида („Службени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Српске“, број 3/10), 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обављање ДДД 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дозвољена у 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Српској. 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сврставају у врсте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дјелују, 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коришћења, објеката у 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 предмета и 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биоцидима. 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критеријум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став (1) 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врсте.</w:t>
      </w: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Стручни надзор над спровођењем мјера 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ДДД 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Институт. 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 ДДД 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центар, 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координира, 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усмјерава и 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Регионално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гцентра:</w:t>
      </w:r>
    </w:p>
    <w:p w:rsidR="00014A97" w:rsidRPr="00AE3C1B" w:rsidRDefault="00014A97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 ДДД подразумјева: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активности у смислу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присуству и одржавању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инфестације,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увид у примјену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препарата (врста, концентрација, начин и мјесто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препарата, норме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примјене, те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осталих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одредби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 Оперативног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евиденције,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степена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контаминације, оне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чишћења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инфестацијена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анкете,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3" w:line="283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одређених (заданих, предвиђених) поступака ДДД увидом у складу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 и Оперативним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планом,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елементима,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корекцију (допуну) у току, ако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постоје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разлози.</w:t>
      </w: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Инспекцијски надзор</w:t>
      </w: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  <w:t xml:space="preserve">извођача </w:t>
      </w:r>
      <w:r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у </w:t>
      </w: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спровођењу мјера ДДД</w:t>
      </w:r>
    </w:p>
    <w:p w:rsidR="00014A97" w:rsidRPr="00AE3C1B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извођача у 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у 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кадра и 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испуњавати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Правилником о условима у 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запослених, 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опремљености, просторија и 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установе, 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друштва, 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обављање 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и градска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послове (сектор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инспекције).</w:t>
      </w: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Извори средства за спровођење ДДД</w:t>
      </w:r>
    </w:p>
    <w:p w:rsidR="00014A97" w:rsidRDefault="00C16CEB" w:rsidP="00014A97">
      <w:pPr>
        <w:tabs>
          <w:tab w:val="left" w:pos="865"/>
        </w:tabs>
        <w:spacing w:before="184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ДДД 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објеката и простора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поглавља 5. 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Програма,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 трошкови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рада.</w:t>
      </w:r>
    </w:p>
    <w:p w:rsidR="00BB159D" w:rsidRPr="00BB159D" w:rsidRDefault="00BB159D" w:rsidP="00014A97">
      <w:p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Начин извјештавања о спроведеној обавезној мјери ДДД</w:t>
      </w:r>
    </w:p>
    <w:p w:rsidR="00014A97" w:rsidRPr="00AE3C1B" w:rsidRDefault="00C16CEB" w:rsidP="00C16CEB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прикупља и 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извјештаје о 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посебној у 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података. 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извођачи. 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путем.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подацима о 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инфестације, 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средстава и 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и 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планом.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података о 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 ДДД, 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мјера, те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период.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извјештај и 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доставе: Извођачи ДДД мјере о обављеној ДДД 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 о 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 ДДД, те о врстама и 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 ДДД 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 31. Јануара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годину.</w:t>
      </w:r>
    </w:p>
    <w:p w:rsidR="00014A97" w:rsidRPr="00BB159D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здравља и 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 о 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 о 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до 28. </w:t>
      </w:r>
      <w:r>
        <w:rPr>
          <w:rFonts w:ascii="Times New Roman" w:hAnsi="Times New Roman" w:cs="Times New Roman"/>
          <w:w w:val="105"/>
          <w:sz w:val="24"/>
          <w:szCs w:val="24"/>
        </w:rPr>
        <w:t>ф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ебр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годину.</w:t>
      </w: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Ступање на 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159D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објављивања у „Службеном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C17E2" w:rsidRPr="00A906A4" w:rsidRDefault="004C17E2" w:rsidP="004C17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906A4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014A97" w:rsidRPr="00A906A4" w:rsidRDefault="00014A97" w:rsidP="00014A97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Број:  </w:t>
            </w:r>
          </w:p>
        </w:tc>
        <w:tc>
          <w:tcPr>
            <w:tcW w:w="1814" w:type="dxa"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BB15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  <w:hideMark/>
          </w:tcPr>
          <w:p w:rsidR="00BB159D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Бијељина,</w:t>
            </w:r>
            <w:r w:rsidR="00BB159D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4C17E2" w:rsidRPr="00A906A4" w:rsidRDefault="00BB159D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Датум, 2020. године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A906A4" w:rsidP="00BB15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СКУПШТИНЕ 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</w:rPr>
              <w:t>ГРАДА БИЈЕЉИНА</w:t>
            </w:r>
          </w:p>
        </w:tc>
      </w:tr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BB159D" w:rsidRPr="00A906A4" w:rsidRDefault="00BB159D" w:rsidP="00BB15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>Славиша Марковић</w:t>
            </w:r>
          </w:p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BB15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7E2" w:rsidRPr="00A906A4" w:rsidTr="00A906A4">
        <w:trPr>
          <w:trHeight w:val="525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Default="00BB159D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Default="00BB159D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Pr="00BB159D" w:rsidRDefault="00BB159D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1B6AD0" w:rsidRPr="00DF2639" w:rsidRDefault="001B6AD0" w:rsidP="001B6AD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lastRenderedPageBreak/>
        <w:t>О Б Р А З Л О Ж Е Њ Е</w:t>
      </w: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I ПРАВНИ ОСНОВ ЗА ДОНОШЕЊЕ ПЛАНА</w:t>
      </w: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 xml:space="preserve">Правни основ за доношење Годишњег плана садржан је у члану 16. став 1. и став </w:t>
      </w:r>
      <w:r w:rsidRPr="00141141">
        <w:rPr>
          <w:rFonts w:ascii="Times New Roman" w:hAnsi="Times New Roman"/>
          <w:sz w:val="24"/>
          <w:szCs w:val="24"/>
        </w:rPr>
        <w:t>3.Закона о заштити становништва од заразних болести („Службени гласник Републике Српске", број 90/17).</w:t>
      </w: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II  РАЗЛОЗИ ЗА ДОНОШЕЊЕ ПЛАНА</w:t>
      </w:r>
    </w:p>
    <w:p w:rsidR="001B6AD0" w:rsidRPr="004563E2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 xml:space="preserve">Разлог за доношење Плана је обавеза Скупштине јединице локалне самоуправе да доносе Годишњи план систематске превентивне дезинсекције и дератизације за своје подручје који морају бити усклађени са Програмом мјера за спријечавање, </w:t>
      </w:r>
      <w:r w:rsidRPr="00A906A4">
        <w:rPr>
          <w:rFonts w:ascii="Times New Roman" w:hAnsi="Times New Roman"/>
          <w:sz w:val="24"/>
          <w:szCs w:val="24"/>
        </w:rPr>
        <w:t>сузбијање, елиминацију и ерадикацију заразних болести и Програмом мјера систематске превентивне  дезифекције,дезинсекције и дератизације.  У складу са чланом 16.став 3. Закона о заштити становништва од заразних болести предвиђено је да јединица локалне самоуправе прибавио сагласност ЈЗУ „Института за јавно здравство РС“ која је својим дописом  број: 500-</w:t>
      </w:r>
      <w:r w:rsidR="00A906A4" w:rsidRPr="00A906A4">
        <w:rPr>
          <w:rFonts w:ascii="Times New Roman" w:hAnsi="Times New Roman"/>
          <w:sz w:val="24"/>
          <w:szCs w:val="24"/>
          <w:lang w:val="sr-Cyrl-BA"/>
        </w:rPr>
        <w:t>3098-1</w:t>
      </w:r>
      <w:r w:rsidRPr="00A906A4">
        <w:rPr>
          <w:rFonts w:ascii="Times New Roman" w:hAnsi="Times New Roman"/>
          <w:sz w:val="24"/>
          <w:szCs w:val="24"/>
        </w:rPr>
        <w:t>/</w:t>
      </w:r>
      <w:r w:rsidR="00A906A4" w:rsidRPr="00A906A4">
        <w:rPr>
          <w:rFonts w:ascii="Times New Roman" w:hAnsi="Times New Roman"/>
          <w:sz w:val="24"/>
          <w:szCs w:val="24"/>
        </w:rPr>
        <w:t>20</w:t>
      </w:r>
      <w:r w:rsidRPr="00A906A4">
        <w:rPr>
          <w:rFonts w:ascii="Times New Roman" w:hAnsi="Times New Roman"/>
          <w:sz w:val="24"/>
          <w:szCs w:val="24"/>
        </w:rPr>
        <w:t xml:space="preserve"> од </w:t>
      </w:r>
      <w:r w:rsidR="00A906A4" w:rsidRPr="00A906A4">
        <w:rPr>
          <w:rFonts w:ascii="Times New Roman" w:hAnsi="Times New Roman"/>
          <w:sz w:val="24"/>
          <w:szCs w:val="24"/>
          <w:lang w:val="sr-Cyrl-BA"/>
        </w:rPr>
        <w:t>05.05.2020</w:t>
      </w:r>
      <w:r w:rsidRPr="00A906A4">
        <w:rPr>
          <w:rFonts w:ascii="Times New Roman" w:hAnsi="Times New Roman"/>
          <w:sz w:val="24"/>
          <w:szCs w:val="24"/>
        </w:rPr>
        <w:t>.</w:t>
      </w:r>
      <w:r w:rsidRPr="00A906A4">
        <w:rPr>
          <w:rFonts w:ascii="Times New Roman" w:hAnsi="Times New Roman"/>
          <w:sz w:val="24"/>
          <w:szCs w:val="24"/>
          <w:lang w:val="sr-Cyrl-BA"/>
        </w:rPr>
        <w:t>доставило сагласност број 504-</w:t>
      </w:r>
      <w:r w:rsidR="00A906A4" w:rsidRPr="00A906A4">
        <w:rPr>
          <w:rFonts w:ascii="Times New Roman" w:hAnsi="Times New Roman"/>
          <w:sz w:val="24"/>
          <w:szCs w:val="24"/>
          <w:lang w:val="sr-Cyrl-BA"/>
        </w:rPr>
        <w:t>331/20</w:t>
      </w:r>
      <w:r w:rsidRPr="00A906A4">
        <w:rPr>
          <w:rFonts w:ascii="Times New Roman" w:hAnsi="Times New Roman"/>
          <w:sz w:val="24"/>
          <w:szCs w:val="24"/>
          <w:lang w:val="sr-Cyrl-BA"/>
        </w:rPr>
        <w:t xml:space="preserve"> од </w:t>
      </w:r>
      <w:r w:rsidR="00A906A4" w:rsidRPr="00A906A4">
        <w:rPr>
          <w:rFonts w:ascii="Times New Roman" w:hAnsi="Times New Roman"/>
          <w:sz w:val="24"/>
          <w:szCs w:val="24"/>
          <w:lang w:val="sr-Cyrl-BA"/>
        </w:rPr>
        <w:t>05.05.2020</w:t>
      </w:r>
      <w:r w:rsidRPr="00A906A4">
        <w:rPr>
          <w:rFonts w:ascii="Times New Roman" w:hAnsi="Times New Roman"/>
          <w:sz w:val="24"/>
          <w:szCs w:val="24"/>
          <w:lang w:val="sr-Cyrl-BA"/>
        </w:rPr>
        <w:t>. и</w:t>
      </w:r>
      <w:r w:rsidRPr="00A906A4">
        <w:rPr>
          <w:rFonts w:ascii="Times New Roman" w:hAnsi="Times New Roman"/>
          <w:sz w:val="24"/>
          <w:szCs w:val="24"/>
        </w:rPr>
        <w:t xml:space="preserve"> констатовала да су наведени Програми и </w:t>
      </w:r>
      <w:r w:rsidRPr="00A906A4">
        <w:rPr>
          <w:rFonts w:ascii="Times New Roman" w:hAnsi="Times New Roman"/>
          <w:sz w:val="24"/>
          <w:szCs w:val="24"/>
          <w:lang w:val="sr-Cyrl-BA"/>
        </w:rPr>
        <w:t>П</w:t>
      </w:r>
      <w:r w:rsidRPr="00A906A4">
        <w:rPr>
          <w:rFonts w:ascii="Times New Roman" w:hAnsi="Times New Roman"/>
          <w:sz w:val="24"/>
          <w:szCs w:val="24"/>
        </w:rPr>
        <w:t>лан урађени стручно, одговорно и професионално.</w:t>
      </w: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III - ФИНАНСИЈСКА СРЕДСТВА</w:t>
      </w: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 xml:space="preserve">За спровођење овог Плана, обезбјеђена су финансијска средства у буџету </w:t>
      </w:r>
      <w:r>
        <w:rPr>
          <w:rFonts w:ascii="Times New Roman" w:hAnsi="Times New Roman"/>
          <w:sz w:val="24"/>
          <w:szCs w:val="24"/>
        </w:rPr>
        <w:t>Града</w:t>
      </w:r>
      <w:r w:rsidRPr="00DF2639">
        <w:rPr>
          <w:rFonts w:ascii="Times New Roman" w:hAnsi="Times New Roman"/>
          <w:sz w:val="24"/>
          <w:szCs w:val="24"/>
        </w:rPr>
        <w:t>.</w:t>
      </w: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A906A4" w:rsidRPr="00A906A4" w:rsidRDefault="00A906A4" w:rsidP="00A906A4">
      <w:pPr>
        <w:ind w:left="4320"/>
        <w:jc w:val="center"/>
        <w:rPr>
          <w:sz w:val="28"/>
          <w:szCs w:val="28"/>
          <w:lang w:val="sr-Cyrl-BA"/>
        </w:rPr>
      </w:pPr>
      <w:r w:rsidRPr="00A906A4">
        <w:rPr>
          <w:sz w:val="28"/>
          <w:szCs w:val="28"/>
          <w:lang w:val="sr-Cyrl-BA"/>
        </w:rPr>
        <w:t>ОБРАЂИВАЧ:</w:t>
      </w:r>
    </w:p>
    <w:p w:rsidR="00A906A4" w:rsidRPr="00A906A4" w:rsidRDefault="00A906A4" w:rsidP="00A906A4">
      <w:pPr>
        <w:ind w:left="4320"/>
        <w:jc w:val="center"/>
        <w:rPr>
          <w:sz w:val="28"/>
          <w:szCs w:val="28"/>
          <w:lang w:val="sr-Cyrl-BA"/>
        </w:rPr>
      </w:pPr>
      <w:r w:rsidRPr="00A906A4">
        <w:rPr>
          <w:sz w:val="28"/>
          <w:szCs w:val="28"/>
          <w:lang w:val="sr-Cyrl-BA"/>
        </w:rPr>
        <w:t>Одјељење за привреду</w:t>
      </w:r>
    </w:p>
    <w:p w:rsidR="001B6AD0" w:rsidRPr="00DF2639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1B6AD0" w:rsidRPr="00DF2639" w:rsidSect="00B41E1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AEA" w:rsidRDefault="00D22AEA" w:rsidP="00E70BA8">
      <w:pPr>
        <w:spacing w:after="0" w:line="240" w:lineRule="auto"/>
      </w:pPr>
      <w:r>
        <w:separator/>
      </w:r>
    </w:p>
  </w:endnote>
  <w:endnote w:type="continuationSeparator" w:id="1">
    <w:p w:rsidR="00D22AEA" w:rsidRDefault="00D22AEA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AEA" w:rsidRDefault="00D22AEA" w:rsidP="00E70BA8">
      <w:pPr>
        <w:spacing w:after="0" w:line="240" w:lineRule="auto"/>
      </w:pPr>
      <w:r>
        <w:separator/>
      </w:r>
    </w:p>
  </w:footnote>
  <w:footnote w:type="continuationSeparator" w:id="1">
    <w:p w:rsidR="00D22AEA" w:rsidRDefault="00D22AEA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8F795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6B66A088DDE463BA0A9C5B2EF5A4CB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8F7951" w:rsidRDefault="008F7951" w:rsidP="008F795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C17E2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3E01E803842C463F97C4D1BE7D199AC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0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8F7951" w:rsidRDefault="008F7951" w:rsidP="008F795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4C17E2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2020</w:t>
              </w:r>
            </w:p>
          </w:tc>
        </w:sdtContent>
      </w:sdt>
    </w:tr>
  </w:tbl>
  <w:p w:rsidR="00BA577C" w:rsidRPr="00B41E19" w:rsidRDefault="00BA577C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BA8"/>
    <w:rsid w:val="00003B7E"/>
    <w:rsid w:val="00014A97"/>
    <w:rsid w:val="000505F3"/>
    <w:rsid w:val="000D4690"/>
    <w:rsid w:val="001B6AD0"/>
    <w:rsid w:val="001C1578"/>
    <w:rsid w:val="00201031"/>
    <w:rsid w:val="002824D5"/>
    <w:rsid w:val="0030576F"/>
    <w:rsid w:val="00357260"/>
    <w:rsid w:val="00460F86"/>
    <w:rsid w:val="004C17E2"/>
    <w:rsid w:val="004F4D55"/>
    <w:rsid w:val="0058161F"/>
    <w:rsid w:val="005A195D"/>
    <w:rsid w:val="00632953"/>
    <w:rsid w:val="006A769C"/>
    <w:rsid w:val="00752213"/>
    <w:rsid w:val="00754BAF"/>
    <w:rsid w:val="007E769A"/>
    <w:rsid w:val="00801E5D"/>
    <w:rsid w:val="008D4534"/>
    <w:rsid w:val="008F7951"/>
    <w:rsid w:val="0093171D"/>
    <w:rsid w:val="00975A7D"/>
    <w:rsid w:val="00976119"/>
    <w:rsid w:val="009B61B6"/>
    <w:rsid w:val="00A906A4"/>
    <w:rsid w:val="00AE3C1B"/>
    <w:rsid w:val="00AF51FD"/>
    <w:rsid w:val="00B41E19"/>
    <w:rsid w:val="00B64F84"/>
    <w:rsid w:val="00B702D4"/>
    <w:rsid w:val="00BA1422"/>
    <w:rsid w:val="00BA577C"/>
    <w:rsid w:val="00BB159D"/>
    <w:rsid w:val="00C16CEB"/>
    <w:rsid w:val="00C60914"/>
    <w:rsid w:val="00C64861"/>
    <w:rsid w:val="00C83D01"/>
    <w:rsid w:val="00CD30BD"/>
    <w:rsid w:val="00D22AEA"/>
    <w:rsid w:val="00D455FB"/>
    <w:rsid w:val="00E70BA8"/>
    <w:rsid w:val="00F02A45"/>
    <w:rsid w:val="00F542E3"/>
    <w:rsid w:val="00F92456"/>
    <w:rsid w:val="00F9473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B66A088DDE463BA0A9C5B2EF5A4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4FE8B-C08A-43B3-8BF5-019A33A76686}"/>
      </w:docPartPr>
      <w:docPartBody>
        <w:p w:rsidR="00472D40" w:rsidRDefault="00963546" w:rsidP="00963546">
          <w:pPr>
            <w:pStyle w:val="96B66A088DDE463BA0A9C5B2EF5A4CB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E01E803842C463F97C4D1BE7D19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0E0C8-1F3B-48B9-9F99-75A39F94CDBC}"/>
      </w:docPartPr>
      <w:docPartBody>
        <w:p w:rsidR="00472D40" w:rsidRDefault="00963546" w:rsidP="00963546">
          <w:pPr>
            <w:pStyle w:val="3E01E803842C463F97C4D1BE7D199AC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963546"/>
    <w:rsid w:val="00472D40"/>
    <w:rsid w:val="005F3969"/>
    <w:rsid w:val="00963546"/>
    <w:rsid w:val="00974ABC"/>
    <w:rsid w:val="00DB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B66A088DDE463BA0A9C5B2EF5A4CB0">
    <w:name w:val="96B66A088DDE463BA0A9C5B2EF5A4CB0"/>
    <w:rsid w:val="00963546"/>
  </w:style>
  <w:style w:type="paragraph" w:customStyle="1" w:styleId="3E01E803842C463F97C4D1BE7D199ACE">
    <w:name w:val="3E01E803842C463F97C4D1BE7D199ACE"/>
    <w:rsid w:val="009635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5C4C10-1F7C-4E94-AB1D-9F160A73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13</Pages>
  <Words>4623</Words>
  <Characters>26353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30915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13</cp:revision>
  <cp:lastPrinted>2020-04-28T09:51:00Z</cp:lastPrinted>
  <dcterms:created xsi:type="dcterms:W3CDTF">2020-04-11T22:14:00Z</dcterms:created>
  <dcterms:modified xsi:type="dcterms:W3CDTF">2020-06-10T11:06:00Z</dcterms:modified>
</cp:coreProperties>
</file>