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 xml:space="preserve">члана 2. став 1. тачка л)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_________2021.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8C1521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са даном 01. јануар 2022. године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ED4C48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 Градске управе Бијељина дужно је да заједно са надлежним министарствима и одговарајућом службом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sr-Cyrl-CS"/>
        </w:rPr>
        <w:t>којима се обезбјеђује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Александар Ђурђевић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У ТРЕЗОРСКИ СИСТЕМ ПОСЛОВАЊА 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FE100E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E44FC9" w:rsidRPr="00985AD0" w:rsidRDefault="00E44FC9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 у трезорски систем пословања Аграрног фонда Града Бијељина садржан је: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CS"/>
        </w:rPr>
        <w:t xml:space="preserve">у члану 2. став 1. тачка в) Закона о буџетском систему Републике Српске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121</w:t>
      </w:r>
      <w:r>
        <w:rPr>
          <w:rFonts w:ascii="Times New Roman" w:hAnsi="Times New Roman" w:cs="Times New Roman"/>
        </w:rPr>
        <w:t>/1</w:t>
      </w:r>
      <w:r>
        <w:rPr>
          <w:rFonts w:ascii="Times New Roman" w:hAnsi="Times New Roman" w:cs="Times New Roman"/>
          <w:lang w:val="sr-Cyrl-CS"/>
        </w:rPr>
        <w:t>2, 52/14, 103/15 и 15/16</w:t>
      </w:r>
      <w:r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E100E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E44FC9" w:rsidRDefault="00E44FC9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lastRenderedPageBreak/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Финансијска средства за реализацију ове Одлуке обезбједиће се приликом израде Одлуке о буџету Града Бијељина за 2022. годину, 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П.О. ГРАДОНАЧЕЛНИКА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Гордана Петровић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>О УКЉУЧИВАЊУ У ТРЕЗОРСКИ СИСТЕМ ПОСЛОВАЊА АГРАРНОГ ФОНДА ГРАДА БИЈЕЉИНА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C1521"/>
    <w:rsid w:val="00041878"/>
    <w:rsid w:val="00051896"/>
    <w:rsid w:val="002162DF"/>
    <w:rsid w:val="002D2921"/>
    <w:rsid w:val="006407FD"/>
    <w:rsid w:val="00652005"/>
    <w:rsid w:val="0073624A"/>
    <w:rsid w:val="00812B6B"/>
    <w:rsid w:val="008C1521"/>
    <w:rsid w:val="00A05397"/>
    <w:rsid w:val="00C87C4F"/>
    <w:rsid w:val="00CF712E"/>
    <w:rsid w:val="00D04153"/>
    <w:rsid w:val="00D233D2"/>
    <w:rsid w:val="00D459C0"/>
    <w:rsid w:val="00E44FC9"/>
    <w:rsid w:val="00EC33B3"/>
    <w:rsid w:val="00ED4C48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6</cp:revision>
  <cp:lastPrinted>2021-10-14T07:18:00Z</cp:lastPrinted>
  <dcterms:created xsi:type="dcterms:W3CDTF">2021-10-13T11:16:00Z</dcterms:created>
  <dcterms:modified xsi:type="dcterms:W3CDTF">2021-10-14T11:09:00Z</dcterms:modified>
</cp:coreProperties>
</file>