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A8" w:rsidRPr="00E812CB" w:rsidRDefault="009826E6" w:rsidP="00BC0BD1">
      <w:pPr>
        <w:pStyle w:val="BodyText"/>
        <w:ind w:left="426"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>37)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8D743E">
        <w:rPr>
          <w:rFonts w:ascii="Times New Roman" w:hAnsi="Times New Roman" w:cs="Times New Roman"/>
          <w:sz w:val="24"/>
          <w:szCs w:val="24"/>
        </w:rPr>
        <w:t xml:space="preserve">, </w:t>
      </w:r>
      <w:r w:rsidR="004C17E2">
        <w:rPr>
          <w:rFonts w:ascii="Times New Roman" w:hAnsi="Times New Roman" w:cs="Times New Roman"/>
          <w:sz w:val="24"/>
          <w:szCs w:val="24"/>
        </w:rPr>
        <w:t>36/19</w:t>
      </w:r>
      <w:r w:rsidR="008D743E">
        <w:rPr>
          <w:rFonts w:ascii="Times New Roman" w:hAnsi="Times New Roman" w:cs="Times New Roman"/>
          <w:sz w:val="24"/>
          <w:szCs w:val="24"/>
          <w:lang w:val="sr-Cyrl-CS"/>
        </w:rPr>
        <w:t xml:space="preserve"> и 61/21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43)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E812CB">
        <w:rPr>
          <w:rFonts w:ascii="Times New Roman" w:hAnsi="Times New Roman" w:cs="Times New Roman"/>
          <w:sz w:val="24"/>
          <w:szCs w:val="24"/>
          <w:lang w:val="sr-Cyrl-BA"/>
        </w:rPr>
        <w:t xml:space="preserve"> 14. априла </w:t>
      </w:r>
      <w:r w:rsidR="00BC0BD1">
        <w:rPr>
          <w:rFonts w:ascii="Times New Roman" w:hAnsi="Times New Roman" w:cs="Times New Roman"/>
          <w:sz w:val="24"/>
          <w:szCs w:val="24"/>
          <w:lang w:val="sr-Cyrl-BA"/>
        </w:rPr>
        <w:t xml:space="preserve">2022.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812CB">
        <w:rPr>
          <w:rFonts w:ascii="Times New Roman" w:hAnsi="Times New Roman" w:cs="Times New Roman"/>
          <w:sz w:val="24"/>
          <w:szCs w:val="24"/>
          <w:lang w:val="sr-Cyrl-CS"/>
        </w:rPr>
        <w:t>онијела је</w:t>
      </w:r>
    </w:p>
    <w:p w:rsidR="00BC0BD1" w:rsidRPr="00BC0BD1" w:rsidRDefault="00BC0BD1" w:rsidP="00BC0BD1">
      <w:pPr>
        <w:pStyle w:val="BodyText"/>
        <w:ind w:left="426"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0AD8" w:rsidRPr="00490AD8" w:rsidRDefault="00490AD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BC0BD1" w:rsidRPr="00BC0BD1" w:rsidRDefault="00BC0BD1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МЈЕРА СИСТЕМАТСКЕ ПРЕВЕНТИВНЕ ДЕЗИНСЕКЦИЈЕ И ДЕРАТИЗАЦИЈЕ НА ПОДРУЧЈУ ГРАДА БИЈЕЉИНА ЗА 2022. ГОДИНУ</w:t>
      </w:r>
    </w:p>
    <w:p w:rsidR="00E70BA8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C0BD1" w:rsidRPr="00BC0BD1" w:rsidRDefault="00BC0BD1" w:rsidP="00E70BA8">
      <w:pPr>
        <w:pStyle w:val="BodyTex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70BA8" w:rsidRPr="00AE3C1B" w:rsidRDefault="00344DF6" w:rsidP="00344DF6">
      <w:pPr>
        <w:pStyle w:val="BodyText"/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I        </w:t>
      </w:r>
      <w:r w:rsidR="009826E6"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344DF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 w:rsidR="009B61B6">
        <w:rPr>
          <w:rFonts w:ascii="Times New Roman" w:hAnsi="Times New Roman" w:cs="Times New Roman"/>
          <w:sz w:val="24"/>
          <w:szCs w:val="24"/>
        </w:rPr>
        <w:t xml:space="preserve"> 7.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9B61B6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812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79602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ДДД</w:t>
      </w:r>
      <w:r w:rsidR="00796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796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796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960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796026">
        <w:rPr>
          <w:rFonts w:ascii="Times New Roman" w:hAnsi="Times New Roman" w:cs="Times New Roman"/>
          <w:spacing w:val="-3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Default="00801E5D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0AD8" w:rsidRDefault="00490AD8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0AD8" w:rsidRPr="00490AD8" w:rsidRDefault="00490AD8" w:rsidP="00490AD8">
      <w:pPr>
        <w:tabs>
          <w:tab w:val="left" w:pos="1287"/>
        </w:tabs>
        <w:ind w:right="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E70BA8" w:rsidRPr="00490AD8" w:rsidRDefault="00344DF6" w:rsidP="00344DF6">
      <w:pPr>
        <w:pStyle w:val="Heading3"/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  </w:t>
      </w:r>
      <w:r w:rsidR="009826E6" w:rsidRPr="00490AD8">
        <w:rPr>
          <w:rFonts w:ascii="Times New Roman" w:hAnsi="Times New Roman" w:cs="Times New Roman"/>
          <w:sz w:val="24"/>
          <w:szCs w:val="24"/>
        </w:rPr>
        <w:t>Спровођење</w:t>
      </w:r>
      <w:r w:rsidR="009B61B6" w:rsidRPr="00490AD8">
        <w:rPr>
          <w:rFonts w:ascii="Times New Roman" w:hAnsi="Times New Roman" w:cs="Times New Roman"/>
          <w:sz w:val="24"/>
          <w:szCs w:val="24"/>
        </w:rPr>
        <w:t xml:space="preserve"> </w:t>
      </w:r>
      <w:r w:rsidR="009826E6" w:rsidRPr="00490AD8">
        <w:rPr>
          <w:rFonts w:ascii="Times New Roman" w:hAnsi="Times New Roman" w:cs="Times New Roman"/>
          <w:sz w:val="24"/>
          <w:szCs w:val="24"/>
        </w:rPr>
        <w:t>мјера</w:t>
      </w:r>
      <w:r w:rsidR="00AE3C1B" w:rsidRPr="00490AD8">
        <w:rPr>
          <w:rFonts w:ascii="Times New Roman" w:hAnsi="Times New Roman" w:cs="Times New Roman"/>
          <w:sz w:val="24"/>
          <w:szCs w:val="24"/>
        </w:rPr>
        <w:t xml:space="preserve"> </w:t>
      </w:r>
      <w:r w:rsidR="009826E6" w:rsidRPr="00490AD8"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0AD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заразиих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490AD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“</w:t>
      </w:r>
      <w:r w:rsidR="00490AD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490AD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размиожавање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обавјештавања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0AD8" w:rsidRDefault="00490AD8" w:rsidP="00490AD8">
      <w:pPr>
        <w:pStyle w:val="BodyText"/>
        <w:spacing w:before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3.</w:t>
      </w:r>
    </w:p>
    <w:p w:rsidR="00547E0C" w:rsidRPr="00BC0BD1" w:rsidRDefault="00547E0C" w:rsidP="00490AD8">
      <w:pPr>
        <w:pStyle w:val="BodyText"/>
        <w:spacing w:before="1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BC0BD1" w:rsidRDefault="009B61B6" w:rsidP="00BC0BD1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490AD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2F3E30" w:rsidP="002F3E30">
      <w:pPr>
        <w:pStyle w:val="Heading3"/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D37ED">
        <w:rPr>
          <w:rFonts w:ascii="Times New Roman" w:hAnsi="Times New Roman" w:cs="Times New Roman"/>
          <w:sz w:val="24"/>
          <w:szCs w:val="24"/>
        </w:rPr>
        <w:t>II</w:t>
      </w:r>
      <w:r w:rsidR="00490AD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826E6"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C0BD1" w:rsidP="00BC0BD1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хеморагичнегрозницесабубрежнимсиндромом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490AD8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490AD8" w:rsidRPr="00BC0BD1" w:rsidRDefault="00490AD8" w:rsidP="00490AD8">
      <w:pPr>
        <w:pStyle w:val="ListParagraph"/>
        <w:tabs>
          <w:tab w:val="left" w:pos="1291"/>
          <w:tab w:val="left" w:pos="1292"/>
        </w:tabs>
        <w:ind w:left="1291" w:right="4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4.</w:t>
      </w:r>
    </w:p>
    <w:p w:rsidR="00BC0BD1" w:rsidRPr="00AE3C1B" w:rsidRDefault="00BC0BD1" w:rsidP="00BC0BD1">
      <w:pPr>
        <w:pStyle w:val="ListParagraph"/>
        <w:tabs>
          <w:tab w:val="left" w:pos="1291"/>
          <w:tab w:val="left" w:pos="1292"/>
        </w:tabs>
        <w:ind w:left="1291" w:right="4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 w:rsidR="005420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BC0BD1">
      <w:pPr>
        <w:pStyle w:val="BodyTex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куга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пјегавац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="00E70BA8"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самонелозе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трихинелоза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трипаносомијаза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угриза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Содоку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бјеснило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2F3E30" w:rsidP="002F3E30">
      <w:pPr>
        <w:pStyle w:val="Heading3"/>
        <w:tabs>
          <w:tab w:val="left" w:pos="843"/>
        </w:tabs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D37E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BC0BD1">
      <w:pPr>
        <w:pStyle w:val="BodyText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90AD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490AD8" w:rsidP="00BC0BD1">
      <w:pPr>
        <w:pStyle w:val="BodyText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="009826E6"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РепубликуСрпску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BC0B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спроводиит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8D37ED" w:rsidP="002F3E30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2F3E3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9826E6"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9826E6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Default="00BA577C" w:rsidP="000D4690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90AD8" w:rsidRDefault="00490AD8" w:rsidP="000D4690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490AD8" w:rsidRPr="00490AD8" w:rsidRDefault="00490AD8" w:rsidP="00490AD8">
      <w:pPr>
        <w:spacing w:line="247" w:lineRule="auto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6.</w:t>
      </w:r>
    </w:p>
    <w:p w:rsidR="00E70BA8" w:rsidRPr="00490AD8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размиожавања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BC0BD1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C0BD1" w:rsidRDefault="00BC0BD1" w:rsidP="00BC0BD1">
      <w:p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490AD8" w:rsidRDefault="00490AD8" w:rsidP="00490AD8">
      <w:pPr>
        <w:tabs>
          <w:tab w:val="left" w:pos="1405"/>
        </w:tabs>
        <w:spacing w:before="7" w:line="244" w:lineRule="auto"/>
        <w:ind w:right="653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7.</w:t>
      </w: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BC0BD1" w:rsidRDefault="00BA577C" w:rsidP="00BC0BD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најавжније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F9245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садржавати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отпадапог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одногза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547E0C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иаафинис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Default="00F542E3" w:rsidP="00BC0BD1">
      <w:pPr>
        <w:spacing w:before="5" w:line="247" w:lineRule="auto"/>
        <w:ind w:right="599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C0BD1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 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547E0C" w:rsidRDefault="00490AD8" w:rsidP="00490AD8">
      <w:pPr>
        <w:spacing w:before="5" w:line="247" w:lineRule="auto"/>
        <w:ind w:right="599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8.</w:t>
      </w:r>
    </w:p>
    <w:p w:rsidR="00490AD8" w:rsidRPr="00547E0C" w:rsidRDefault="00490AD8" w:rsidP="00490AD8">
      <w:pPr>
        <w:spacing w:before="5" w:line="247" w:lineRule="auto"/>
        <w:ind w:right="599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BC0BD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регуалтора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упутсвту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C0BD1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обизром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685B2B" w:rsidRDefault="00685B2B" w:rsidP="00F542E3">
      <w:pPr>
        <w:spacing w:before="5"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685B2B" w:rsidRDefault="00685B2B" w:rsidP="00685B2B">
      <w:pPr>
        <w:spacing w:before="5" w:line="247" w:lineRule="auto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9.</w:t>
      </w:r>
    </w:p>
    <w:p w:rsidR="00685B2B" w:rsidRPr="00685B2B" w:rsidRDefault="00685B2B" w:rsidP="00685B2B">
      <w:pPr>
        <w:spacing w:before="5" w:line="247" w:lineRule="auto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појавео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Прогармом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односио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BC0BD1" w:rsidRDefault="009826E6" w:rsidP="00014A97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C0BD1" w:rsidRPr="00BC0BD1" w:rsidRDefault="00BC0BD1" w:rsidP="00BC0BD1">
      <w:pPr>
        <w:tabs>
          <w:tab w:val="left" w:pos="1407"/>
        </w:tabs>
        <w:spacing w:line="244" w:lineRule="auto"/>
        <w:ind w:left="1067" w:right="65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4A97" w:rsidRPr="00F542E3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B2B" w:rsidRDefault="00685B2B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B2B" w:rsidRDefault="00685B2B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B2B" w:rsidRDefault="00685B2B" w:rsidP="00685B2B">
      <w:pPr>
        <w:pStyle w:val="ListParagraph"/>
        <w:tabs>
          <w:tab w:val="left" w:pos="1635"/>
        </w:tabs>
        <w:ind w:left="126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10.</w:t>
      </w:r>
    </w:p>
    <w:p w:rsidR="00685B2B" w:rsidRPr="00685B2B" w:rsidRDefault="00685B2B" w:rsidP="00685B2B">
      <w:pPr>
        <w:pStyle w:val="ListParagraph"/>
        <w:tabs>
          <w:tab w:val="left" w:pos="1635"/>
        </w:tabs>
        <w:ind w:left="126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0BD1" w:rsidRDefault="00F542E3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станопвништво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Стога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014A97" w:rsidRPr="00AE3C1B" w:rsidRDefault="009826E6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F542E3">
      <w:pPr>
        <w:tabs>
          <w:tab w:val="left" w:pos="2973"/>
        </w:tabs>
        <w:spacing w:line="247" w:lineRule="auto"/>
        <w:ind w:right="65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</w:t>
      </w:r>
      <w:r w:rsidR="00F542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685B2B" w:rsidRDefault="00F542E3" w:rsidP="00796026">
      <w:pPr>
        <w:spacing w:before="5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685B2B" w:rsidRDefault="00685B2B" w:rsidP="00685B2B">
      <w:pPr>
        <w:spacing w:before="5" w:line="247" w:lineRule="auto"/>
        <w:ind w:right="651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11.</w:t>
      </w:r>
    </w:p>
    <w:p w:rsidR="00014A97" w:rsidRPr="00AE3C1B" w:rsidRDefault="009826E6" w:rsidP="00014A97">
      <w:pPr>
        <w:spacing w:before="5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мјерезаштите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547E0C" w:rsidRPr="00685B2B" w:rsidRDefault="00F542E3" w:rsidP="009826E6">
      <w:pPr>
        <w:spacing w:before="12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4A3EA1" w:rsidRDefault="008D37ED" w:rsidP="004A3EA1">
      <w:p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V</w:t>
      </w:r>
      <w:r w:rsidR="004A3EA1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I </w:t>
      </w:r>
      <w:r w:rsid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      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4A3EA1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4A3EA1" w:rsidRDefault="008D37ED" w:rsidP="004A3EA1">
      <w:p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V</w:t>
      </w:r>
      <w:r w:rsid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II       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4A3EA1"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3" w:line="283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C0BD1" w:rsidRPr="004A3EA1" w:rsidRDefault="008D37ED" w:rsidP="004A3EA1">
      <w:p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V</w:t>
      </w:r>
      <w:r w:rsidR="00344DF6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III </w:t>
      </w:r>
      <w:r w:rsidR="004A3EA1">
        <w:rPr>
          <w:rFonts w:ascii="Times New Roman" w:hAnsi="Times New Roman" w:cs="Times New Roman"/>
          <w:b/>
          <w:w w:val="105"/>
          <w:sz w:val="24"/>
          <w:szCs w:val="24"/>
        </w:rPr>
        <w:t xml:space="preserve">    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344DF6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344DF6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685B2B" w:rsidRDefault="00685B2B" w:rsidP="00685B2B">
      <w:pPr>
        <w:spacing w:line="285" w:lineRule="auto"/>
        <w:ind w:right="651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12.</w:t>
      </w:r>
    </w:p>
    <w:p w:rsidR="00685B2B" w:rsidRPr="00685B2B" w:rsidRDefault="00685B2B" w:rsidP="00685B2B">
      <w:pPr>
        <w:spacing w:line="285" w:lineRule="auto"/>
        <w:ind w:right="651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014A97" w:rsidRPr="00344DF6" w:rsidRDefault="008D37ED" w:rsidP="00344DF6">
      <w:p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IX</w:t>
      </w:r>
      <w:r w:rsid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  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BC0BD1" w:rsidRPr="00685B2B" w:rsidRDefault="008D37ED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       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344DF6" w:rsidRDefault="008D37ED" w:rsidP="00344DF6">
      <w:p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X</w:t>
      </w:r>
      <w:r w:rsid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    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344DF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344DF6"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C16CEB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C0BD1" w:rsidRPr="00BC0BD1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8D37ED" w:rsidP="00685B2B">
      <w:p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X</w:t>
      </w:r>
      <w:r w:rsidR="00685B2B" w:rsidRPr="00685B2B">
        <w:rPr>
          <w:rFonts w:ascii="Times New Roman" w:hAnsi="Times New Roman" w:cs="Times New Roman"/>
          <w:b/>
          <w:w w:val="105"/>
          <w:sz w:val="24"/>
          <w:szCs w:val="24"/>
        </w:rPr>
        <w:t xml:space="preserve">I </w:t>
      </w:r>
      <w:r w:rsidR="00685B2B">
        <w:rPr>
          <w:rFonts w:ascii="Times New Roman" w:hAnsi="Times New Roman" w:cs="Times New Roman"/>
          <w:b/>
          <w:w w:val="105"/>
          <w:sz w:val="24"/>
          <w:szCs w:val="24"/>
        </w:rPr>
        <w:t xml:space="preserve">      </w:t>
      </w:r>
      <w:r w:rsidR="009826E6" w:rsidRPr="00685B2B"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685B2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685B2B"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685B2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9826E6" w:rsidRPr="00685B2B"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685B2B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C0BD1">
        <w:rPr>
          <w:rFonts w:ascii="Times New Roman" w:hAnsi="Times New Roman" w:cs="Times New Roman"/>
          <w:w w:val="105"/>
          <w:sz w:val="24"/>
          <w:szCs w:val="24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BC0BD1" w:rsidRDefault="00BC0BD1" w:rsidP="00014A97">
      <w:pPr>
        <w:spacing w:before="1" w:line="285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BC0BD1" w:rsidRPr="00BC0BD1" w:rsidRDefault="00BC0BD1" w:rsidP="00BC0BD1">
      <w:pPr>
        <w:pStyle w:val="BodyTex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0BD1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BC0BD1" w:rsidRPr="00BC0BD1" w:rsidRDefault="00BC0BD1" w:rsidP="00BC0BD1">
      <w:pPr>
        <w:pStyle w:val="BodyTex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0BD1" w:rsidRPr="00BC0BD1" w:rsidRDefault="00BC0BD1" w:rsidP="00BC0BD1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BC0BD1" w:rsidRPr="00BC0BD1" w:rsidRDefault="00BC0BD1" w:rsidP="00BC0BD1">
      <w:pPr>
        <w:pStyle w:val="BodyText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5077"/>
      </w:tblGrid>
      <w:tr w:rsidR="00BC0BD1" w:rsidRPr="00BC0BD1" w:rsidTr="00BC0BD1">
        <w:tc>
          <w:tcPr>
            <w:tcW w:w="3794" w:type="dxa"/>
            <w:hideMark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Број: 01-022-</w:t>
            </w:r>
            <w:r w:rsidR="00062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</w:t>
            </w: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BC0BD1" w:rsidRPr="00BC0BD1" w:rsidRDefault="00BC0BD1" w:rsidP="00BC0BD1">
            <w:pPr>
              <w:pStyle w:val="BodyTex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BC0BD1" w:rsidRPr="00BC0BD1" w:rsidTr="00BC0BD1">
        <w:tc>
          <w:tcPr>
            <w:tcW w:w="3794" w:type="dxa"/>
            <w:hideMark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BC0BD1" w:rsidRPr="00BC0BD1" w:rsidRDefault="00BC0BD1" w:rsidP="00BC0BD1">
            <w:pPr>
              <w:pStyle w:val="BodyTex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BC0BD1" w:rsidRPr="00BC0BD1" w:rsidTr="00BC0BD1">
        <w:tc>
          <w:tcPr>
            <w:tcW w:w="3794" w:type="dxa"/>
            <w:hideMark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Датум, </w:t>
            </w:r>
            <w:r w:rsidR="00685B2B">
              <w:rPr>
                <w:rFonts w:ascii="Times New Roman" w:hAnsi="Times New Roman" w:cs="Times New Roman"/>
                <w:sz w:val="24"/>
                <w:szCs w:val="24"/>
              </w:rPr>
              <w:t xml:space="preserve">14. април </w:t>
            </w: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C0BD1" w:rsidRPr="00BC0BD1" w:rsidTr="00BC0BD1">
        <w:tc>
          <w:tcPr>
            <w:tcW w:w="3794" w:type="dxa"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BC0BD1" w:rsidRPr="00BC0BD1" w:rsidRDefault="00BC0BD1" w:rsidP="00BC0BD1">
            <w:pPr>
              <w:pStyle w:val="BodyTex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C0B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Александар Ђурђевић</w:t>
            </w:r>
            <w:r w:rsidR="0044154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  <w:tr w:rsidR="00BC0BD1" w:rsidRPr="00BC0BD1" w:rsidTr="00BC0BD1">
        <w:tc>
          <w:tcPr>
            <w:tcW w:w="3794" w:type="dxa"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BC0BD1" w:rsidRPr="00BC0BD1" w:rsidRDefault="00BC0BD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BC0BD1" w:rsidRPr="00BC0BD1" w:rsidRDefault="00BC0BD1" w:rsidP="00BC0BD1">
            <w:pPr>
              <w:pStyle w:val="BodyText"/>
              <w:rPr>
                <w:rFonts w:ascii="Times New Roman" w:eastAsiaTheme="minorEastAsia" w:hAnsi="Times New Roman" w:cs="Times New Roman"/>
                <w:sz w:val="24"/>
                <w:szCs w:val="24"/>
                <w:lang w:val="sr-Latn-CS" w:eastAsia="sr-Latn-CS"/>
              </w:rPr>
            </w:pPr>
          </w:p>
        </w:tc>
      </w:tr>
      <w:tr w:rsidR="00660261" w:rsidRPr="00BC0BD1" w:rsidTr="00BC0BD1">
        <w:tc>
          <w:tcPr>
            <w:tcW w:w="3794" w:type="dxa"/>
          </w:tcPr>
          <w:p w:rsidR="00660261" w:rsidRPr="00BC0BD1" w:rsidRDefault="0066026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660261" w:rsidRPr="00BC0BD1" w:rsidRDefault="00660261" w:rsidP="00BC0BD1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hideMark/>
          </w:tcPr>
          <w:p w:rsidR="00660261" w:rsidRPr="00BC0BD1" w:rsidRDefault="00660261" w:rsidP="00BC0BD1">
            <w:pPr>
              <w:pStyle w:val="BodyText"/>
              <w:rPr>
                <w:rFonts w:ascii="Times New Roman" w:eastAsiaTheme="minorEastAsia" w:hAnsi="Times New Roman" w:cs="Times New Roman"/>
                <w:sz w:val="24"/>
                <w:szCs w:val="24"/>
                <w:lang w:val="sr-Latn-CS" w:eastAsia="sr-Latn-CS"/>
              </w:rPr>
            </w:pPr>
          </w:p>
        </w:tc>
      </w:tr>
    </w:tbl>
    <w:p w:rsidR="00BC0BD1" w:rsidRPr="00344DF6" w:rsidRDefault="00BC0BD1" w:rsidP="00660261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C0BD1" w:rsidRPr="00344DF6" w:rsidSect="00BC0BD1">
      <w:headerReference w:type="default" r:id="rId9"/>
      <w:pgSz w:w="12240" w:h="15840"/>
      <w:pgMar w:top="568" w:right="1041" w:bottom="567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42A" w:rsidRDefault="007F742A" w:rsidP="00E70BA8">
      <w:pPr>
        <w:spacing w:after="0" w:line="240" w:lineRule="auto"/>
      </w:pPr>
      <w:r>
        <w:separator/>
      </w:r>
    </w:p>
  </w:endnote>
  <w:endnote w:type="continuationSeparator" w:id="0">
    <w:p w:rsidR="007F742A" w:rsidRDefault="007F742A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42A" w:rsidRDefault="007F742A" w:rsidP="00E70BA8">
      <w:pPr>
        <w:spacing w:after="0" w:line="240" w:lineRule="auto"/>
      </w:pPr>
      <w:r>
        <w:separator/>
      </w:r>
    </w:p>
  </w:footnote>
  <w:footnote w:type="continuationSeparator" w:id="0">
    <w:p w:rsidR="007F742A" w:rsidRDefault="007F742A" w:rsidP="00E7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7C" w:rsidRPr="00B41E19" w:rsidRDefault="00BA577C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8911DC"/>
    <w:multiLevelType w:val="hybridMultilevel"/>
    <w:tmpl w:val="43BE3BDE"/>
    <w:lvl w:ilvl="0" w:tplc="83829DA4">
      <w:start w:val="4"/>
      <w:numFmt w:val="upperRoman"/>
      <w:lvlText w:val="%1."/>
      <w:lvlJc w:val="left"/>
      <w:pPr>
        <w:ind w:left="1080" w:hanging="720"/>
      </w:pPr>
      <w:rPr>
        <w:rFonts w:hint="default"/>
        <w:w w:val="105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4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5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6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8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9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20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5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7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9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30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2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3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5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6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8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5"/>
  </w:num>
  <w:num w:numId="2">
    <w:abstractNumId w:val="31"/>
  </w:num>
  <w:num w:numId="3">
    <w:abstractNumId w:val="4"/>
  </w:num>
  <w:num w:numId="4">
    <w:abstractNumId w:val="5"/>
  </w:num>
  <w:num w:numId="5">
    <w:abstractNumId w:val="29"/>
  </w:num>
  <w:num w:numId="6">
    <w:abstractNumId w:val="18"/>
  </w:num>
  <w:num w:numId="7">
    <w:abstractNumId w:val="7"/>
  </w:num>
  <w:num w:numId="8">
    <w:abstractNumId w:val="14"/>
  </w:num>
  <w:num w:numId="9">
    <w:abstractNumId w:val="8"/>
  </w:num>
  <w:num w:numId="10">
    <w:abstractNumId w:val="26"/>
  </w:num>
  <w:num w:numId="11">
    <w:abstractNumId w:val="2"/>
  </w:num>
  <w:num w:numId="12">
    <w:abstractNumId w:val="17"/>
  </w:num>
  <w:num w:numId="13">
    <w:abstractNumId w:val="38"/>
  </w:num>
  <w:num w:numId="14">
    <w:abstractNumId w:val="22"/>
  </w:num>
  <w:num w:numId="15">
    <w:abstractNumId w:val="24"/>
  </w:num>
  <w:num w:numId="16">
    <w:abstractNumId w:val="15"/>
  </w:num>
  <w:num w:numId="17">
    <w:abstractNumId w:val="6"/>
  </w:num>
  <w:num w:numId="18">
    <w:abstractNumId w:val="13"/>
  </w:num>
  <w:num w:numId="19">
    <w:abstractNumId w:val="16"/>
  </w:num>
  <w:num w:numId="20">
    <w:abstractNumId w:val="19"/>
  </w:num>
  <w:num w:numId="21">
    <w:abstractNumId w:val="36"/>
  </w:num>
  <w:num w:numId="22">
    <w:abstractNumId w:val="21"/>
  </w:num>
  <w:num w:numId="23">
    <w:abstractNumId w:val="33"/>
  </w:num>
  <w:num w:numId="24">
    <w:abstractNumId w:val="34"/>
  </w:num>
  <w:num w:numId="25">
    <w:abstractNumId w:val="37"/>
  </w:num>
  <w:num w:numId="26">
    <w:abstractNumId w:val="3"/>
  </w:num>
  <w:num w:numId="27">
    <w:abstractNumId w:val="10"/>
  </w:num>
  <w:num w:numId="28">
    <w:abstractNumId w:val="9"/>
  </w:num>
  <w:num w:numId="29">
    <w:abstractNumId w:val="23"/>
  </w:num>
  <w:num w:numId="30">
    <w:abstractNumId w:val="0"/>
  </w:num>
  <w:num w:numId="31">
    <w:abstractNumId w:val="12"/>
  </w:num>
  <w:num w:numId="32">
    <w:abstractNumId w:val="28"/>
  </w:num>
  <w:num w:numId="33">
    <w:abstractNumId w:val="32"/>
  </w:num>
  <w:num w:numId="34">
    <w:abstractNumId w:val="30"/>
  </w:num>
  <w:num w:numId="35">
    <w:abstractNumId w:val="1"/>
  </w:num>
  <w:num w:numId="36">
    <w:abstractNumId w:val="25"/>
  </w:num>
  <w:num w:numId="37">
    <w:abstractNumId w:val="27"/>
  </w:num>
  <w:num w:numId="38">
    <w:abstractNumId w:val="20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BA8"/>
    <w:rsid w:val="00014A97"/>
    <w:rsid w:val="00046388"/>
    <w:rsid w:val="000505F3"/>
    <w:rsid w:val="00062FEF"/>
    <w:rsid w:val="000873C2"/>
    <w:rsid w:val="0009756F"/>
    <w:rsid w:val="000A4F86"/>
    <w:rsid w:val="000D4690"/>
    <w:rsid w:val="000F2F95"/>
    <w:rsid w:val="00136830"/>
    <w:rsid w:val="00144C8E"/>
    <w:rsid w:val="0016270A"/>
    <w:rsid w:val="00192AD1"/>
    <w:rsid w:val="001B6AD0"/>
    <w:rsid w:val="001C1578"/>
    <w:rsid w:val="00201031"/>
    <w:rsid w:val="00206AA1"/>
    <w:rsid w:val="00286C4F"/>
    <w:rsid w:val="002D2036"/>
    <w:rsid w:val="002F3E30"/>
    <w:rsid w:val="0030576F"/>
    <w:rsid w:val="00335B7B"/>
    <w:rsid w:val="00344DF6"/>
    <w:rsid w:val="00357260"/>
    <w:rsid w:val="0040145B"/>
    <w:rsid w:val="00434838"/>
    <w:rsid w:val="0044154C"/>
    <w:rsid w:val="0045154F"/>
    <w:rsid w:val="00490AD8"/>
    <w:rsid w:val="004A3EA1"/>
    <w:rsid w:val="004C17E2"/>
    <w:rsid w:val="004F4D55"/>
    <w:rsid w:val="00505B78"/>
    <w:rsid w:val="00527F88"/>
    <w:rsid w:val="005420F0"/>
    <w:rsid w:val="00547E0C"/>
    <w:rsid w:val="00555C86"/>
    <w:rsid w:val="0058161F"/>
    <w:rsid w:val="005A195D"/>
    <w:rsid w:val="00622561"/>
    <w:rsid w:val="00632953"/>
    <w:rsid w:val="00660261"/>
    <w:rsid w:val="00674031"/>
    <w:rsid w:val="00685B2B"/>
    <w:rsid w:val="006A0155"/>
    <w:rsid w:val="006A769C"/>
    <w:rsid w:val="0071433A"/>
    <w:rsid w:val="00747041"/>
    <w:rsid w:val="00752213"/>
    <w:rsid w:val="0075448C"/>
    <w:rsid w:val="00754BAF"/>
    <w:rsid w:val="00786786"/>
    <w:rsid w:val="00796026"/>
    <w:rsid w:val="007A2049"/>
    <w:rsid w:val="007B27B5"/>
    <w:rsid w:val="007E769A"/>
    <w:rsid w:val="007F742A"/>
    <w:rsid w:val="00801E5D"/>
    <w:rsid w:val="00832251"/>
    <w:rsid w:val="008B0808"/>
    <w:rsid w:val="008D37ED"/>
    <w:rsid w:val="008D4534"/>
    <w:rsid w:val="008D743E"/>
    <w:rsid w:val="008F7951"/>
    <w:rsid w:val="009207F3"/>
    <w:rsid w:val="0093171D"/>
    <w:rsid w:val="00936BFB"/>
    <w:rsid w:val="00974483"/>
    <w:rsid w:val="00975A7D"/>
    <w:rsid w:val="00976119"/>
    <w:rsid w:val="009826E6"/>
    <w:rsid w:val="009B61B6"/>
    <w:rsid w:val="009F0FA0"/>
    <w:rsid w:val="00A22959"/>
    <w:rsid w:val="00A855AA"/>
    <w:rsid w:val="00A906A4"/>
    <w:rsid w:val="00AE3C1B"/>
    <w:rsid w:val="00B115B5"/>
    <w:rsid w:val="00B35461"/>
    <w:rsid w:val="00B41E19"/>
    <w:rsid w:val="00B45542"/>
    <w:rsid w:val="00B64F84"/>
    <w:rsid w:val="00B702D4"/>
    <w:rsid w:val="00B93B96"/>
    <w:rsid w:val="00BA1422"/>
    <w:rsid w:val="00BA577C"/>
    <w:rsid w:val="00BC0BD1"/>
    <w:rsid w:val="00BC7F28"/>
    <w:rsid w:val="00C16CEB"/>
    <w:rsid w:val="00C60914"/>
    <w:rsid w:val="00C64861"/>
    <w:rsid w:val="00C72DAE"/>
    <w:rsid w:val="00C83D01"/>
    <w:rsid w:val="00CC6174"/>
    <w:rsid w:val="00CD30BD"/>
    <w:rsid w:val="00D30B08"/>
    <w:rsid w:val="00D455FB"/>
    <w:rsid w:val="00E70BA8"/>
    <w:rsid w:val="00E812CB"/>
    <w:rsid w:val="00F02A45"/>
    <w:rsid w:val="00F542E3"/>
    <w:rsid w:val="00F92456"/>
    <w:rsid w:val="00F94734"/>
    <w:rsid w:val="00FB1056"/>
    <w:rsid w:val="00FD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77516E-592A-4144-B374-68AE813D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13</Pages>
  <Words>4491</Words>
  <Characters>25600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30031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32</cp:revision>
  <cp:lastPrinted>2022-04-15T09:29:00Z</cp:lastPrinted>
  <dcterms:created xsi:type="dcterms:W3CDTF">2021-03-09T10:58:00Z</dcterms:created>
  <dcterms:modified xsi:type="dcterms:W3CDTF">2022-04-15T09:38:00Z</dcterms:modified>
</cp:coreProperties>
</file>