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F7" w:rsidRPr="006769DC" w:rsidRDefault="001624ED" w:rsidP="002C6EC1">
      <w:pPr>
        <w:pStyle w:val="BodyText"/>
        <w:ind w:left="284" w:right="38" w:firstLine="6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FD0E82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FD0E82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CC30F7">
        <w:rPr>
          <w:rFonts w:ascii="Times New Roman" w:hAnsi="Times New Roman" w:cs="Times New Roman"/>
          <w:sz w:val="24"/>
          <w:szCs w:val="24"/>
        </w:rPr>
        <w:t>37)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FD0E82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071E8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C30F7">
        <w:rPr>
          <w:rFonts w:ascii="Times New Roman" w:hAnsi="Times New Roman" w:cs="Times New Roman"/>
          <w:sz w:val="24"/>
          <w:szCs w:val="24"/>
        </w:rPr>
        <w:t>36/19</w:t>
      </w:r>
      <w:r w:rsidR="00071E8F">
        <w:rPr>
          <w:rFonts w:ascii="Times New Roman" w:hAnsi="Times New Roman" w:cs="Times New Roman"/>
          <w:sz w:val="24"/>
          <w:szCs w:val="24"/>
          <w:lang w:val="sr-Cyrl-CS"/>
        </w:rPr>
        <w:t xml:space="preserve"> и 61/21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FD0E82">
        <w:rPr>
          <w:rFonts w:ascii="Times New Roman" w:hAnsi="Times New Roman" w:cs="Times New Roman"/>
          <w:sz w:val="24"/>
          <w:szCs w:val="24"/>
          <w:lang w:val="sr-Cyrl-CS"/>
        </w:rPr>
        <w:t xml:space="preserve">ана </w:t>
      </w:r>
      <w:r w:rsidR="00CC30F7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FD0E82">
        <w:rPr>
          <w:rFonts w:ascii="Times New Roman" w:hAnsi="Times New Roman" w:cs="Times New Roman"/>
          <w:sz w:val="24"/>
          <w:szCs w:val="24"/>
        </w:rPr>
        <w:t xml:space="preserve"> </w:t>
      </w:r>
      <w:r w:rsidR="00FD0E82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FD0E82">
        <w:rPr>
          <w:rFonts w:ascii="Times New Roman" w:hAnsi="Times New Roman" w:cs="Times New Roman"/>
          <w:sz w:val="24"/>
          <w:szCs w:val="24"/>
        </w:rPr>
        <w:t>2</w:t>
      </w:r>
      <w:r w:rsidR="00FD0E8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CC30F7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>
        <w:rPr>
          <w:rFonts w:ascii="Times New Roman" w:hAnsi="Times New Roman" w:cs="Times New Roman"/>
          <w:sz w:val="24"/>
          <w:szCs w:val="24"/>
        </w:rPr>
        <w:t xml:space="preserve"> 43</w:t>
      </w:r>
      <w:r w:rsidR="00CC30F7" w:rsidRPr="00CC30F7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Статута</w:t>
      </w:r>
      <w:r w:rsidR="00CC30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FD0E82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96893">
        <w:rPr>
          <w:rFonts w:ascii="Times New Roman" w:hAnsi="Times New Roman" w:cs="Times New Roman"/>
          <w:sz w:val="24"/>
          <w:szCs w:val="24"/>
        </w:rPr>
        <w:t>9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/17),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 w:rsidR="00FD0E82">
        <w:rPr>
          <w:rFonts w:ascii="Times New Roman" w:hAnsi="Times New Roman" w:cs="Times New Roman"/>
          <w:sz w:val="24"/>
          <w:szCs w:val="24"/>
          <w:lang w:val="sr-Cyrl-CS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6769DC">
        <w:rPr>
          <w:rFonts w:ascii="Times New Roman" w:hAnsi="Times New Roman" w:cs="Times New Roman"/>
          <w:sz w:val="24"/>
          <w:szCs w:val="24"/>
        </w:rPr>
        <w:t xml:space="preserve"> 14. априла 2022.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769DC">
        <w:rPr>
          <w:rFonts w:ascii="Times New Roman" w:hAnsi="Times New Roman" w:cs="Times New Roman"/>
          <w:sz w:val="24"/>
          <w:szCs w:val="24"/>
          <w:lang w:val="sr-Cyrl-CS"/>
        </w:rPr>
        <w:t>онијела је</w:t>
      </w:r>
    </w:p>
    <w:p w:rsidR="00CC30F7" w:rsidRPr="00AE3C1B" w:rsidRDefault="00CC30F7" w:rsidP="00CC30F7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CB3A8F" w:rsidRPr="00996893" w:rsidRDefault="00CC30F7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CB3A8F" w:rsidRDefault="00CB3A8F" w:rsidP="00FD0E82">
      <w:pPr>
        <w:spacing w:line="249" w:lineRule="auto"/>
        <w:jc w:val="center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Default="001624ED" w:rsidP="00FD0E82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79642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="0079642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79642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</w:t>
      </w:r>
    </w:p>
    <w:p w:rsidR="008904F9" w:rsidRDefault="0079642E" w:rsidP="00FD0E82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СИСТЕМАТСКЕ ПРЕВЕНТИВНЕ ДЕЗИНСЕКЦИЈЕ И </w:t>
      </w:r>
    </w:p>
    <w:p w:rsidR="008904F9" w:rsidRDefault="0079642E" w:rsidP="008904F9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ДЕРАТИЗАЦИЈЕ</w:t>
      </w:r>
      <w:r w:rsidR="008904F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ПОДРУЧЈЕ ГРАДА БИЈЕЉИНА ЗА </w:t>
      </w:r>
    </w:p>
    <w:p w:rsidR="0079642E" w:rsidRDefault="0079642E" w:rsidP="008904F9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2022. ГОДИНУ</w:t>
      </w:r>
    </w:p>
    <w:p w:rsidR="0079642E" w:rsidRDefault="0079642E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9642E" w:rsidRDefault="0079642E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D0E82" w:rsidRPr="0079642E" w:rsidRDefault="00FD0E82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B3A8F" w:rsidRPr="006769DC" w:rsidRDefault="006769DC" w:rsidP="006769DC">
      <w:pPr>
        <w:spacing w:line="229" w:lineRule="exact"/>
        <w:ind w:right="433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69D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I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624ED" w:rsidRPr="006769DC">
        <w:rPr>
          <w:rFonts w:ascii="Times New Roman" w:hAnsi="Times New Roman" w:cs="Times New Roman"/>
          <w:b/>
          <w:sz w:val="24"/>
          <w:szCs w:val="24"/>
        </w:rPr>
        <w:t>Увод</w:t>
      </w:r>
    </w:p>
    <w:p w:rsidR="00CB3A8F" w:rsidRDefault="00CB3A8F" w:rsidP="00CB3A8F">
      <w:pPr>
        <w:spacing w:line="229" w:lineRule="exact"/>
        <w:ind w:left="611"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Pr="00CB3A8F" w:rsidRDefault="0052663E" w:rsidP="00CB3A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624ED">
        <w:rPr>
          <w:rFonts w:ascii="Times New Roman" w:hAnsi="Times New Roman" w:cs="Times New Roman"/>
          <w:sz w:val="24"/>
          <w:szCs w:val="24"/>
        </w:rPr>
        <w:t>Познато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имају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мјерљив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временске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прилике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Европи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виду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повећања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просјечних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вриједности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количине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падавина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те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очекују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све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чешћи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таласи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врућина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суша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поплаве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sz w:val="24"/>
          <w:szCs w:val="24"/>
        </w:rPr>
        <w:t>Једна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од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посљедица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њихов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распрострањености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сезонске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варијације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људи</w:t>
      </w:r>
      <w:r w:rsidR="00CB3A8F">
        <w:rPr>
          <w:rFonts w:ascii="Times New Roman" w:hAnsi="Times New Roman" w:cs="Times New Roman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sz w:val="24"/>
          <w:szCs w:val="24"/>
        </w:rPr>
        <w:t>То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уствари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подразумијева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ширење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постојећих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подручјима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гдје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раније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било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али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нових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>.</w:t>
      </w:r>
    </w:p>
    <w:p w:rsidR="00CB3A8F" w:rsidRPr="00CB3A8F" w:rsidRDefault="00CB3A8F" w:rsidP="00CB3A8F">
      <w:pPr>
        <w:spacing w:line="229" w:lineRule="exact"/>
        <w:ind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Default="0052663E" w:rsidP="00996893">
      <w:pPr>
        <w:spacing w:before="13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векторскез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извјесно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доспије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организам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свог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домаћина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проведе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крпељии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).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организми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механизме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одржавање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тјелесне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директно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зависе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спољашње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Одговарајућа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основни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предуслов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ларвии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одрасле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јединке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високе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велике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њихов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неколико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B27C61" w:rsidRPr="00CB3A8F" w:rsidRDefault="0052663E" w:rsidP="00996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повећања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случајева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обољевања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свијету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европским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земаљама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постале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настајању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емергинг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учесталост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порасла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посљедње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деценије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тенденцију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блиској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будућности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Фактори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допринијели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оваквој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епидемиолошкој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ситуацији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ширење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географска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интензиван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међународни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саобарћај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чешће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дивљим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узрочницима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резистенција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антимикробне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лијекове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вируленције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52663E" w:rsidP="00B27C61">
      <w:pPr>
        <w:spacing w:before="1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202</w:t>
      </w:r>
      <w:r w:rsidR="00AC0442">
        <w:rPr>
          <w:rFonts w:ascii="Times New Roman" w:hAnsi="Times New Roman" w:cs="Times New Roman"/>
          <w:w w:val="105"/>
          <w:sz w:val="24"/>
          <w:szCs w:val="24"/>
          <w:lang w:val="sr-Cyrl-BA"/>
        </w:rPr>
        <w:t>1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.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пријетњу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проводити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мјера</w:t>
      </w:r>
      <w:r w:rsidR="00B27C61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изнесених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чињеница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197379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-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иадзор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контролу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197379" w:rsidRPr="00FD0E82" w:rsidRDefault="00197379" w:rsidP="00197379">
      <w:pPr>
        <w:pStyle w:val="ListParagraph"/>
        <w:tabs>
          <w:tab w:val="left" w:pos="1203"/>
        </w:tabs>
        <w:spacing w:line="266" w:lineRule="auto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FD0E82" w:rsidRDefault="00FD0E82" w:rsidP="00FD0E82">
      <w:p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D0E82" w:rsidRPr="00FD0E82" w:rsidRDefault="00FD0E82" w:rsidP="00FD0E82">
      <w:pPr>
        <w:tabs>
          <w:tab w:val="left" w:pos="1203"/>
        </w:tabs>
        <w:spacing w:line="26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</w:tabs>
        <w:spacing w:before="24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припремним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упознати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обавијештени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претходно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5"/>
          <w:w w:val="105"/>
          <w:sz w:val="24"/>
          <w:szCs w:val="24"/>
        </w:rPr>
        <w:t>бити</w:t>
      </w:r>
      <w:r w:rsidR="00311358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позиционирана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мапирана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привременим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и</w:t>
      </w:r>
      <w:r w:rsidR="00311358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потеицијалним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интегралном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концепту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заснивати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превасходно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неопходан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оптимум</w:t>
      </w:r>
      <w:r w:rsidR="00B27C61" w:rsidRPr="00CB3A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Дезинесекцију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Правовремено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обавијестити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активностима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везаним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Овакав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w w:val="105"/>
          <w:sz w:val="24"/>
          <w:szCs w:val="24"/>
        </w:rPr>
        <w:t>тежиштем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очување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супервизиј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pacing w:val="-1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одабрати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дозу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употријебити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акон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оцјену</w:t>
      </w:r>
      <w:r w:rsidR="00311358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супервизију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локацијма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Након</w:t>
      </w:r>
    </w:p>
    <w:p w:rsidR="00B27C61" w:rsidRPr="00CB3A8F" w:rsidRDefault="00311358" w:rsidP="00B27C61">
      <w:pPr>
        <w:pStyle w:val="ListParagraph"/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ind w:left="14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адултицидног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spacing w:val="-3"/>
          <w:w w:val="105"/>
          <w:sz w:val="24"/>
          <w:szCs w:val="24"/>
        </w:rPr>
        <w:t>третмана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оцјену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адултицида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Након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обављене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доставити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извршеној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3592"/>
        </w:tabs>
        <w:spacing w:before="14" w:line="26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Препоруке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најефикаснији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спријечити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44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великим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шуме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мочвареи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,);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Смањити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игра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исушивањем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2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уредним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травнатих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смањује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положе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Најмање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једном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недјељно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испразнити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саксија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цвијеће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посуда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кућне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љубимце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канти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буради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лименки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одбачене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прикупљају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before="10" w:line="264" w:lineRule="auto"/>
        <w:ind w:left="1260" w:right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топлијим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мјесецима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климатизованим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таквим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значајно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смањен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9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репелената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откривеиим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дијеловима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тијела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Носити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покрива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ноге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руке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Препоручује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комотна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кроз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припијену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боравак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периода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најинтензивније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активносги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197379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прозорима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кревета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197379" w:rsidRDefault="00197379" w:rsidP="00197379">
      <w:pPr>
        <w:tabs>
          <w:tab w:val="left" w:pos="1260"/>
          <w:tab w:val="left" w:pos="1616"/>
        </w:tabs>
        <w:spacing w:line="247" w:lineRule="auto"/>
        <w:ind w:right="1"/>
        <w:rPr>
          <w:rFonts w:ascii="Times New Roman" w:hAnsi="Times New Roman" w:cs="Times New Roman"/>
          <w:sz w:val="24"/>
          <w:szCs w:val="24"/>
        </w:rPr>
      </w:pPr>
    </w:p>
    <w:p w:rsidR="00197379" w:rsidRPr="00197379" w:rsidRDefault="00197379" w:rsidP="00197379">
      <w:pPr>
        <w:tabs>
          <w:tab w:val="left" w:pos="1260"/>
          <w:tab w:val="left" w:pos="1616"/>
        </w:tabs>
        <w:spacing w:line="247" w:lineRule="auto"/>
        <w:ind w:right="1"/>
        <w:rPr>
          <w:rFonts w:ascii="Times New Roman" w:hAnsi="Times New Roman" w:cs="Times New Roman"/>
          <w:sz w:val="24"/>
          <w:szCs w:val="24"/>
        </w:rPr>
      </w:pPr>
    </w:p>
    <w:p w:rsidR="00FD0E82" w:rsidRDefault="00FD0E82" w:rsidP="00FD0E82">
      <w:pPr>
        <w:pStyle w:val="ListParagraph"/>
        <w:tabs>
          <w:tab w:val="left" w:pos="1260"/>
          <w:tab w:val="left" w:pos="1616"/>
        </w:tabs>
        <w:spacing w:line="247" w:lineRule="auto"/>
        <w:ind w:left="1440" w:right="1" w:firstLine="0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3.</w:t>
      </w:r>
    </w:p>
    <w:p w:rsidR="00FD0E82" w:rsidRPr="0052663E" w:rsidRDefault="00FD0E82" w:rsidP="00FD0E82">
      <w:pPr>
        <w:pStyle w:val="ListParagraph"/>
        <w:tabs>
          <w:tab w:val="left" w:pos="1260"/>
          <w:tab w:val="left" w:pos="1616"/>
        </w:tabs>
        <w:spacing w:line="247" w:lineRule="auto"/>
        <w:ind w:left="1440" w:right="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апарата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уништавају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затвореиом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инстранство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поготово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тропском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субтропском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наведених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узимање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лијекова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хемиопрофилаксу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одласка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маларичних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B6051" w:rsidRPr="00CB3A8F" w:rsidRDefault="004B6051" w:rsidP="004B6051">
      <w:pPr>
        <w:pStyle w:val="ListParagraph"/>
        <w:tabs>
          <w:tab w:val="left" w:pos="1260"/>
          <w:tab w:val="left" w:pos="1616"/>
        </w:tabs>
        <w:spacing w:line="247" w:lineRule="auto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B3A8F" w:rsidRDefault="0052663E" w:rsidP="00B27C61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Уколико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какви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симптоми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одмах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љекару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податак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евентуалном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инсекта</w:t>
      </w:r>
    </w:p>
    <w:p w:rsidR="001E56A3" w:rsidRPr="00FD0E82" w:rsidRDefault="001E56A3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71840" w:rsidRPr="00CB3A8F" w:rsidRDefault="0052663E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за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202</w:t>
      </w:r>
      <w:r w:rsidR="00AC0442">
        <w:rPr>
          <w:rFonts w:ascii="Times New Roman" w:hAnsi="Times New Roman" w:cs="Times New Roman"/>
          <w:w w:val="105"/>
          <w:sz w:val="24"/>
          <w:szCs w:val="24"/>
          <w:lang w:val="sr-Cyrl-BA"/>
        </w:rPr>
        <w:t>1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74"/>
        </w:tabs>
        <w:spacing w:line="247" w:lineRule="auto"/>
        <w:ind w:right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Обим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дефинисаност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81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9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  <w:tab w:val="left" w:pos="2085"/>
          <w:tab w:val="left" w:pos="4004"/>
        </w:tabs>
        <w:spacing w:before="8" w:line="247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обавјештавања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8"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1E56A3" w:rsidRPr="00CB3A8F" w:rsidRDefault="001E56A3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FD0E82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="00376C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69D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="001624ED">
        <w:rPr>
          <w:rFonts w:ascii="Times New Roman" w:hAnsi="Times New Roman" w:cs="Times New Roman"/>
          <w:b/>
          <w:sz w:val="24"/>
          <w:szCs w:val="24"/>
        </w:rPr>
        <w:t>Обим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b/>
          <w:sz w:val="24"/>
          <w:szCs w:val="24"/>
        </w:rPr>
        <w:t>односно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дефинисаност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подручја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коме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ће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се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спровести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превентивна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систематска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дератизација</w:t>
      </w:r>
    </w:p>
    <w:p w:rsidR="00471840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водотоци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паркови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гробља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приведене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урбанистичкој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мостови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паркиралишта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тржнице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пијаце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нужници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before="9"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канализациона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одвођење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оборинских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уређаји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пречишћавање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помијаре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шахтови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енергетски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плинских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телефонских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инсталација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spacing w:line="247" w:lineRule="auto"/>
        <w:ind w:left="633"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главна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аутобуске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хангари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996893">
      <w:pPr>
        <w:tabs>
          <w:tab w:val="left" w:pos="10800"/>
        </w:tabs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ђ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прераду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ж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помоћни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стамебно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укључујући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>
        <w:rPr>
          <w:rFonts w:ascii="Times New Roman" w:hAnsi="Times New Roman" w:cs="Times New Roman"/>
          <w:w w:val="105"/>
          <w:sz w:val="24"/>
          <w:szCs w:val="24"/>
        </w:rPr>
        <w:t>подруме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магазинске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tabs>
          <w:tab w:val="left" w:pos="2776"/>
          <w:tab w:val="left" w:pos="3700"/>
        </w:tabs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остављање</w:t>
      </w:r>
      <w:r w:rsidR="00A03F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пољопривредних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оруђа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.),</w:t>
      </w:r>
    </w:p>
    <w:p w:rsidR="000B1D04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неуређене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дјелимично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зелене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FD0E82" w:rsidRDefault="001624ED" w:rsidP="00FD0E82">
      <w:pPr>
        <w:spacing w:line="247" w:lineRule="auto"/>
        <w:ind w:left="633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подруми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магазииски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помоћних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постојимогућност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FD0E82" w:rsidRDefault="00FD0E82" w:rsidP="00197379">
      <w:pPr>
        <w:spacing w:line="247" w:lineRule="auto"/>
        <w:ind w:left="633"/>
        <w:jc w:val="center"/>
        <w:rPr>
          <w:rFonts w:ascii="Times New Roman" w:hAnsi="Times New Roman" w:cs="Times New Roman"/>
          <w:w w:val="105"/>
          <w:sz w:val="24"/>
          <w:szCs w:val="24"/>
        </w:rPr>
      </w:pPr>
    </w:p>
    <w:p w:rsidR="00197379" w:rsidRDefault="00197379" w:rsidP="00197379">
      <w:pPr>
        <w:spacing w:line="247" w:lineRule="auto"/>
        <w:ind w:left="633"/>
        <w:jc w:val="center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4.</w:t>
      </w:r>
    </w:p>
    <w:p w:rsidR="00FD0E82" w:rsidRPr="00CB3A8F" w:rsidRDefault="00FD0E82" w:rsidP="00FD0E82">
      <w:pPr>
        <w:spacing w:line="247" w:lineRule="auto"/>
        <w:ind w:left="633"/>
        <w:jc w:val="center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</w:tabs>
        <w:spacing w:line="244" w:lineRule="auto"/>
        <w:ind w:right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  <w:tab w:val="left" w:pos="3499"/>
          <w:tab w:val="left" w:pos="4937"/>
        </w:tabs>
        <w:spacing w:line="247" w:lineRule="auto"/>
        <w:ind w:right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хотелско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туристичких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8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рекреационих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вјерскихустанова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домова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пензионера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сличних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2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пружање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медицинских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услуга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педикерски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козметички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фризерски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бријачки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салони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центри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масажу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соларијуми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киропрактичие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ординације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органа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друштава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обављају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обртничку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дјелатност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услужних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угоститељскохрадњи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нарочито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прометом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5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  <w:tab w:val="left" w:pos="3127"/>
          <w:tab w:val="left" w:pos="49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/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9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Надлежно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одјељење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оквиру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захтјева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покретање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процедуре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набавке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прецизно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дефинисати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т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сноси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самоуправе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FD0E82" w:rsidRDefault="003C16B2" w:rsidP="00FD0E82">
      <w:pPr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III</w:t>
      </w:r>
      <w:r w:rsidR="00FD0E82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      </w:t>
      </w:r>
      <w:r w:rsidR="001624ED" w:rsidRPr="00FD0E82">
        <w:rPr>
          <w:rFonts w:ascii="Times New Roman" w:hAnsi="Times New Roman" w:cs="Times New Roman"/>
          <w:b/>
          <w:bCs/>
          <w:w w:val="105"/>
          <w:sz w:val="24"/>
          <w:szCs w:val="24"/>
        </w:rPr>
        <w:t>Вријеме</w:t>
      </w:r>
      <w:r w:rsidR="00A03F17" w:rsidRPr="00FD0E82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 w:rsidR="001624ED" w:rsidRPr="00FD0E82">
        <w:rPr>
          <w:rFonts w:ascii="Times New Roman" w:hAnsi="Times New Roman" w:cs="Times New Roman"/>
          <w:b/>
          <w:bCs/>
          <w:w w:val="105"/>
          <w:sz w:val="24"/>
          <w:szCs w:val="24"/>
        </w:rPr>
        <w:t>извођења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1840" w:rsidRPr="00CB3A8F" w:rsidRDefault="0052663E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оперативиој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наведени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52663E" w:rsidP="00C6487A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ударне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јесењем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периоду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биолошког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циклуса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миграционих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својстава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постижу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најбољи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ефекти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уништаавња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истих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насељеним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425"/>
          <w:tab w:val="left" w:pos="3877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Временских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термина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извођења</w:t>
      </w:r>
      <w:r w:rsidR="00A03F1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C6487A">
      <w:pPr>
        <w:spacing w:before="5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01 .04.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31.05. 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C6487A">
      <w:pPr>
        <w:spacing w:before="3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01.10.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30.11.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144"/>
          <w:tab w:val="left" w:pos="3690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трећа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инфеетацији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Итервентна</w:t>
      </w:r>
      <w:r w:rsidR="00BF7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појави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несигурна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погоршана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наредној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Континуитет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станишта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успостављањем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тзв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 „</w:t>
      </w:r>
      <w:r>
        <w:rPr>
          <w:rFonts w:ascii="Times New Roman" w:hAnsi="Times New Roman" w:cs="Times New Roman"/>
          <w:w w:val="105"/>
          <w:sz w:val="24"/>
          <w:szCs w:val="24"/>
        </w:rPr>
        <w:t>сталних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хранилишта</w:t>
      </w:r>
      <w:r>
        <w:rPr>
          <w:rFonts w:ascii="Times New Roman" w:hAnsi="Times New Roman" w:cs="Times New Roman"/>
          <w:w w:val="105"/>
          <w:sz w:val="24"/>
          <w:szCs w:val="24"/>
          <w:vertAlign w:val="superscript"/>
        </w:rPr>
        <w:t>и</w:t>
      </w:r>
      <w:r w:rsidR="00BF7F09">
        <w:rPr>
          <w:rFonts w:ascii="Times New Roman" w:hAnsi="Times New Roman" w:cs="Times New Roman"/>
          <w:w w:val="105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197379" w:rsidRDefault="00197379" w:rsidP="00197379">
      <w:pPr>
        <w:pStyle w:val="BodyText"/>
        <w:spacing w:before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</w:t>
      </w:r>
    </w:p>
    <w:p w:rsidR="00197379" w:rsidRPr="00CB3A8F" w:rsidRDefault="00197379" w:rsidP="00197379">
      <w:pPr>
        <w:pStyle w:val="BodyText"/>
        <w:spacing w:before="4"/>
        <w:jc w:val="center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3C16B2" w:rsidP="000B1D04">
      <w:pPr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IV</w:t>
      </w:r>
      <w:r w:rsidR="0019737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624ED">
        <w:rPr>
          <w:rFonts w:ascii="Times New Roman" w:hAnsi="Times New Roman" w:cs="Times New Roman"/>
          <w:b/>
          <w:sz w:val="24"/>
          <w:szCs w:val="24"/>
        </w:rPr>
        <w:t>Врсте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b/>
          <w:sz w:val="24"/>
          <w:szCs w:val="24"/>
        </w:rPr>
        <w:t>њихове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начини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примјене</w:t>
      </w:r>
    </w:p>
    <w:p w:rsidR="00471840" w:rsidRPr="00CB3A8F" w:rsidRDefault="00471840" w:rsidP="00471840">
      <w:pPr>
        <w:pStyle w:val="BodyText"/>
        <w:spacing w:before="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хемијским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токсиколошку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утврђеној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регулишу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област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писмени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37/09)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припадајући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подзаконски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активних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састојака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мамцима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Рјешењем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утрђивању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Препоруку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197379" w:rsidRDefault="00197379" w:rsidP="000B1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97379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C16B2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1624ED">
        <w:rPr>
          <w:rFonts w:ascii="Times New Roman" w:hAnsi="Times New Roman" w:cs="Times New Roman"/>
          <w:b/>
          <w:sz w:val="24"/>
          <w:szCs w:val="24"/>
        </w:rPr>
        <w:t>Обавезе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извођача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одобрење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Министарства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укључује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затим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опрему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висини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овлашћеног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",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118/18).</w:t>
      </w:r>
    </w:p>
    <w:p w:rsidR="00471840" w:rsidRPr="00CB3A8F" w:rsidRDefault="00471840" w:rsidP="00471840">
      <w:pPr>
        <w:pStyle w:val="BodyText"/>
        <w:spacing w:before="7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before="1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потребне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3C16B2" w:rsidP="000B1D04">
      <w:pPr>
        <w:spacing w:line="247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VI</w:t>
      </w:r>
      <w:r w:rsidR="00197379">
        <w:rPr>
          <w:rFonts w:ascii="Times New Roman" w:hAnsi="Times New Roman" w:cs="Times New Roman"/>
          <w:b/>
          <w:w w:val="105"/>
          <w:sz w:val="24"/>
          <w:szCs w:val="24"/>
        </w:rPr>
        <w:t xml:space="preserve">    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обавјештавња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физичких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197379">
      <w:pPr>
        <w:spacing w:line="247" w:lineRule="auto"/>
        <w:ind w:right="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садрже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spacing w:before="7" w:line="247" w:lineRule="auto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сигурности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471840">
      <w:pPr>
        <w:spacing w:before="2" w:line="247" w:lineRule="auto"/>
        <w:ind w:left="863" w:right="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имовине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B1D04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обезбјеђење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приступачности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давање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идр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пригодан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оглашавањем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информисања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197379" w:rsidRDefault="00197379" w:rsidP="000B1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97379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C16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Default="00197379" w:rsidP="00C6487A">
      <w:pPr>
        <w:tabs>
          <w:tab w:val="left" w:pos="1629"/>
          <w:tab w:val="left" w:pos="1885"/>
          <w:tab w:val="left" w:pos="2687"/>
          <w:tab w:val="left" w:pos="3030"/>
          <w:tab w:val="left" w:pos="3131"/>
          <w:tab w:val="left" w:pos="3796"/>
          <w:tab w:val="left" w:pos="4710"/>
        </w:tabs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       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дужна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омогуће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потребнао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Такође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дужни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извршавати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налажу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осигурања</w:t>
      </w:r>
      <w:r w:rsidR="00204357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успјешног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pacing w:val="-15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197379" w:rsidRPr="00CB3A8F" w:rsidRDefault="00197379" w:rsidP="00197379">
      <w:pPr>
        <w:tabs>
          <w:tab w:val="left" w:pos="1629"/>
          <w:tab w:val="left" w:pos="1885"/>
          <w:tab w:val="left" w:pos="2687"/>
          <w:tab w:val="left" w:pos="3030"/>
          <w:tab w:val="left" w:pos="3131"/>
          <w:tab w:val="left" w:pos="3796"/>
          <w:tab w:val="left" w:pos="4710"/>
        </w:tabs>
        <w:spacing w:line="247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6.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3C16B2" w:rsidP="000B1D04">
      <w:pPr>
        <w:spacing w:before="1"/>
        <w:ind w:right="92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="001973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над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спровођењем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b/>
          <w:sz w:val="24"/>
          <w:szCs w:val="24"/>
        </w:rPr>
        <w:t>врсте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иадзора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и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)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добара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управни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организацијом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</w:p>
    <w:p w:rsidR="00471840" w:rsidRDefault="00C6487A" w:rsidP="00C6487A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забранити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обуставити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разлога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C6487A" w:rsidRPr="00C6487A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C6487A" w:rsidP="00CB3A8F">
      <w:pPr>
        <w:spacing w:line="249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Наредби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C6487A" w:rsidRPr="00C6487A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налазима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обавјештава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Комисија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формира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заједница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неквалитетног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непотпуног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инспкеција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К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омисији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понови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раскид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уговора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Default="003C16B2" w:rsidP="00471840">
      <w:pPr>
        <w:jc w:val="both"/>
        <w:rPr>
          <w:rFonts w:ascii="Times New Roman" w:hAnsi="Times New Roman" w:cs="Times New Roman"/>
          <w:b/>
          <w:w w:val="105"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X</w:t>
      </w:r>
      <w:r>
        <w:rPr>
          <w:rFonts w:ascii="Times New Roman" w:hAnsi="Times New Roman" w:cs="Times New Roman"/>
          <w:b/>
          <w:w w:val="105"/>
          <w:sz w:val="24"/>
          <w:szCs w:val="24"/>
          <w:lang w:val="sr-Cyrl-CS"/>
        </w:rPr>
        <w:t xml:space="preserve">   </w:t>
      </w:r>
      <w:r w:rsidR="00C6487A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C6487A" w:rsidRPr="00C6487A" w:rsidRDefault="00C6487A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197379">
      <w:pPr>
        <w:spacing w:line="249" w:lineRule="auto"/>
        <w:ind w:right="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97379">
        <w:rPr>
          <w:rFonts w:ascii="Times New Roman" w:hAnsi="Times New Roman" w:cs="Times New Roman"/>
          <w:w w:val="105"/>
          <w:sz w:val="24"/>
          <w:szCs w:val="24"/>
        </w:rPr>
        <w:t>П</w:t>
      </w:r>
      <w:r>
        <w:rPr>
          <w:rFonts w:ascii="Times New Roman" w:hAnsi="Times New Roman" w:cs="Times New Roman"/>
          <w:w w:val="105"/>
          <w:sz w:val="24"/>
          <w:szCs w:val="24"/>
        </w:rPr>
        <w:t>лан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471840" w:rsidRDefault="00471840" w:rsidP="00471840">
      <w:pPr>
        <w:pStyle w:val="BodyTex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7D43" w:rsidRDefault="00257D43" w:rsidP="00471840">
      <w:pPr>
        <w:pStyle w:val="BodyTex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7D43" w:rsidRPr="00257D43" w:rsidRDefault="00257D43" w:rsidP="00471840">
      <w:pPr>
        <w:pStyle w:val="BodyTex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7D43" w:rsidRPr="00BC0BD1" w:rsidRDefault="00257D43" w:rsidP="00257D43">
      <w:pPr>
        <w:pStyle w:val="BodyTex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C0BD1">
        <w:rPr>
          <w:rFonts w:ascii="Times New Roman" w:hAnsi="Times New Roman" w:cs="Times New Roman"/>
          <w:sz w:val="24"/>
          <w:szCs w:val="24"/>
          <w:lang w:val="sr-Cyrl-CS"/>
        </w:rPr>
        <w:t>СКУПШТИНА ГРАДА БИЈЕЉИНА</w:t>
      </w:r>
    </w:p>
    <w:p w:rsidR="00257D43" w:rsidRPr="00BC0BD1" w:rsidRDefault="00257D43" w:rsidP="00257D43">
      <w:pPr>
        <w:pStyle w:val="BodyTex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7D43" w:rsidRPr="00BC0BD1" w:rsidRDefault="00257D43" w:rsidP="00257D43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257D43" w:rsidRPr="00BC0BD1" w:rsidRDefault="00257D43" w:rsidP="00257D43">
      <w:pPr>
        <w:pStyle w:val="BodyText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5077"/>
      </w:tblGrid>
      <w:tr w:rsidR="00257D43" w:rsidRPr="00BC0BD1" w:rsidTr="00EA555C">
        <w:tc>
          <w:tcPr>
            <w:tcW w:w="3794" w:type="dxa"/>
            <w:hideMark/>
          </w:tcPr>
          <w:p w:rsidR="00257D43" w:rsidRPr="00BC0BD1" w:rsidRDefault="00257D43" w:rsidP="00EA555C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B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Број: 01-022-</w:t>
            </w:r>
            <w:r w:rsidR="00A73F3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</w:t>
            </w:r>
            <w:r w:rsidRPr="00BC0B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/22</w:t>
            </w:r>
          </w:p>
        </w:tc>
        <w:tc>
          <w:tcPr>
            <w:tcW w:w="1727" w:type="dxa"/>
          </w:tcPr>
          <w:p w:rsidR="00257D43" w:rsidRPr="00BC0BD1" w:rsidRDefault="00257D43" w:rsidP="00EA555C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hideMark/>
          </w:tcPr>
          <w:p w:rsidR="00257D43" w:rsidRPr="00BC0BD1" w:rsidRDefault="00257D43" w:rsidP="00EA555C">
            <w:pPr>
              <w:pStyle w:val="BodyTex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BD1">
              <w:rPr>
                <w:rFonts w:ascii="Times New Roman" w:hAnsi="Times New Roman" w:cs="Times New Roman"/>
                <w:sz w:val="24"/>
                <w:szCs w:val="24"/>
              </w:rPr>
              <w:t>П Р Е Д С Ј Е Д Н И К</w:t>
            </w:r>
          </w:p>
        </w:tc>
      </w:tr>
      <w:tr w:rsidR="00257D43" w:rsidRPr="00BC0BD1" w:rsidTr="00EA555C">
        <w:tc>
          <w:tcPr>
            <w:tcW w:w="3794" w:type="dxa"/>
            <w:hideMark/>
          </w:tcPr>
          <w:p w:rsidR="00257D43" w:rsidRPr="00BC0BD1" w:rsidRDefault="00257D43" w:rsidP="00EA555C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C0B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257D43" w:rsidRPr="00BC0BD1" w:rsidRDefault="00257D43" w:rsidP="00EA555C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hideMark/>
          </w:tcPr>
          <w:p w:rsidR="00257D43" w:rsidRPr="00BC0BD1" w:rsidRDefault="00257D43" w:rsidP="00EA555C">
            <w:pPr>
              <w:pStyle w:val="BodyTex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BD1">
              <w:rPr>
                <w:rFonts w:ascii="Times New Roman" w:hAnsi="Times New Roman" w:cs="Times New Roman"/>
                <w:sz w:val="24"/>
                <w:szCs w:val="24"/>
              </w:rPr>
              <w:t>СКУПШТИНЕ ГРАДА БИЈЕЉИНА</w:t>
            </w:r>
          </w:p>
        </w:tc>
      </w:tr>
      <w:tr w:rsidR="00257D43" w:rsidRPr="00BC0BD1" w:rsidTr="00EA555C">
        <w:tc>
          <w:tcPr>
            <w:tcW w:w="3794" w:type="dxa"/>
            <w:hideMark/>
          </w:tcPr>
          <w:p w:rsidR="00257D43" w:rsidRPr="00BC0BD1" w:rsidRDefault="00257D43" w:rsidP="00EA555C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C0B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Датум,</w:t>
            </w:r>
            <w:r w:rsidR="003C16B2">
              <w:rPr>
                <w:rFonts w:ascii="Times New Roman" w:hAnsi="Times New Roman" w:cs="Times New Roman"/>
                <w:sz w:val="24"/>
                <w:szCs w:val="24"/>
              </w:rPr>
              <w:t xml:space="preserve"> 14. април</w:t>
            </w:r>
            <w:r w:rsidRPr="00BC0B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2022. године</w:t>
            </w:r>
          </w:p>
        </w:tc>
        <w:tc>
          <w:tcPr>
            <w:tcW w:w="1727" w:type="dxa"/>
          </w:tcPr>
          <w:p w:rsidR="00257D43" w:rsidRPr="00BC0BD1" w:rsidRDefault="00257D43" w:rsidP="00EA555C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</w:tcPr>
          <w:p w:rsidR="00257D43" w:rsidRPr="00BC0BD1" w:rsidRDefault="00257D43" w:rsidP="00EA555C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57D43" w:rsidRPr="00BC0BD1" w:rsidTr="00EA555C">
        <w:tc>
          <w:tcPr>
            <w:tcW w:w="3794" w:type="dxa"/>
          </w:tcPr>
          <w:p w:rsidR="00257D43" w:rsidRPr="00BC0BD1" w:rsidRDefault="00257D43" w:rsidP="00EA555C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57D43" w:rsidRPr="00BC0BD1" w:rsidRDefault="00257D43" w:rsidP="00EA555C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hideMark/>
          </w:tcPr>
          <w:p w:rsidR="00257D43" w:rsidRPr="00BC0BD1" w:rsidRDefault="00257D43" w:rsidP="00EA555C">
            <w:pPr>
              <w:pStyle w:val="BodyTex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C0B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Александар Ђурђевић</w:t>
            </w:r>
            <w:r w:rsidR="004F35E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с.р.</w:t>
            </w:r>
          </w:p>
        </w:tc>
      </w:tr>
      <w:tr w:rsidR="00257D43" w:rsidRPr="00BC0BD1" w:rsidTr="00EA555C">
        <w:tc>
          <w:tcPr>
            <w:tcW w:w="3794" w:type="dxa"/>
          </w:tcPr>
          <w:p w:rsidR="00257D43" w:rsidRPr="00BC0BD1" w:rsidRDefault="00257D43" w:rsidP="00EA555C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57D43" w:rsidRPr="00BC0BD1" w:rsidRDefault="00257D43" w:rsidP="00EA555C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hideMark/>
          </w:tcPr>
          <w:p w:rsidR="00257D43" w:rsidRPr="00BC0BD1" w:rsidRDefault="00257D43" w:rsidP="00EA555C">
            <w:pPr>
              <w:pStyle w:val="BodyText"/>
              <w:rPr>
                <w:rFonts w:ascii="Times New Roman" w:eastAsiaTheme="minorEastAsia" w:hAnsi="Times New Roman" w:cs="Times New Roman"/>
                <w:sz w:val="24"/>
                <w:szCs w:val="24"/>
                <w:lang w:val="sr-Latn-CS" w:eastAsia="sr-Latn-CS"/>
              </w:rPr>
            </w:pPr>
          </w:p>
        </w:tc>
      </w:tr>
    </w:tbl>
    <w:p w:rsidR="00257D43" w:rsidRPr="00BC0BD1" w:rsidRDefault="00257D43" w:rsidP="00257D4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D43" w:rsidRPr="00BC0BD1" w:rsidRDefault="00257D43" w:rsidP="00257D43">
      <w:pP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sectPr w:rsidR="00996893" w:rsidSect="00197379">
      <w:headerReference w:type="default" r:id="rId9"/>
      <w:pgSz w:w="12240" w:h="15840"/>
      <w:pgMar w:top="284" w:right="1041" w:bottom="28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566" w:rsidRDefault="00F86566">
      <w:r>
        <w:separator/>
      </w:r>
    </w:p>
  </w:endnote>
  <w:endnote w:type="continuationSeparator" w:id="0">
    <w:p w:rsidR="00F86566" w:rsidRDefault="00F86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566" w:rsidRDefault="00F86566">
      <w:r>
        <w:separator/>
      </w:r>
    </w:p>
  </w:footnote>
  <w:footnote w:type="continuationSeparator" w:id="0">
    <w:p w:rsidR="00F86566" w:rsidRDefault="00F865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CA6" w:rsidRDefault="00376C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E0E"/>
    <w:multiLevelType w:val="hybridMultilevel"/>
    <w:tmpl w:val="60BA344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9A9"/>
    <w:multiLevelType w:val="hybridMultilevel"/>
    <w:tmpl w:val="969A0FE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862EF"/>
    <w:multiLevelType w:val="hybridMultilevel"/>
    <w:tmpl w:val="87A4127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460AB"/>
    <w:multiLevelType w:val="hybridMultilevel"/>
    <w:tmpl w:val="6688CAB2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DE48251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A8AA34BC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8049F"/>
    <w:multiLevelType w:val="hybridMultilevel"/>
    <w:tmpl w:val="0F4E7186"/>
    <w:lvl w:ilvl="0" w:tplc="40E01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5550065"/>
    <w:multiLevelType w:val="hybridMultilevel"/>
    <w:tmpl w:val="855EDD6E"/>
    <w:lvl w:ilvl="0" w:tplc="40E01E44">
      <w:numFmt w:val="bullet"/>
      <w:lvlText w:val="-"/>
      <w:lvlJc w:val="left"/>
      <w:pPr>
        <w:ind w:left="1540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1B48D60">
      <w:numFmt w:val="bullet"/>
      <w:lvlText w:val="•"/>
      <w:lvlJc w:val="left"/>
      <w:pPr>
        <w:ind w:left="1891" w:hanging="339"/>
      </w:pPr>
      <w:rPr>
        <w:rFonts w:hint="default"/>
      </w:rPr>
    </w:lvl>
    <w:lvl w:ilvl="2" w:tplc="484E329C">
      <w:numFmt w:val="bullet"/>
      <w:lvlText w:val="•"/>
      <w:lvlJc w:val="left"/>
      <w:pPr>
        <w:ind w:left="2243" w:hanging="339"/>
      </w:pPr>
      <w:rPr>
        <w:rFonts w:hint="default"/>
      </w:rPr>
    </w:lvl>
    <w:lvl w:ilvl="3" w:tplc="D3E0D41A">
      <w:numFmt w:val="bullet"/>
      <w:lvlText w:val="•"/>
      <w:lvlJc w:val="left"/>
      <w:pPr>
        <w:ind w:left="2595" w:hanging="339"/>
      </w:pPr>
      <w:rPr>
        <w:rFonts w:hint="default"/>
      </w:rPr>
    </w:lvl>
    <w:lvl w:ilvl="4" w:tplc="8A6CBDEA">
      <w:numFmt w:val="bullet"/>
      <w:lvlText w:val="•"/>
      <w:lvlJc w:val="left"/>
      <w:pPr>
        <w:ind w:left="2947" w:hanging="339"/>
      </w:pPr>
      <w:rPr>
        <w:rFonts w:hint="default"/>
      </w:rPr>
    </w:lvl>
    <w:lvl w:ilvl="5" w:tplc="6E3C747C">
      <w:numFmt w:val="bullet"/>
      <w:lvlText w:val="•"/>
      <w:lvlJc w:val="left"/>
      <w:pPr>
        <w:ind w:left="3299" w:hanging="339"/>
      </w:pPr>
      <w:rPr>
        <w:rFonts w:hint="default"/>
      </w:rPr>
    </w:lvl>
    <w:lvl w:ilvl="6" w:tplc="42E479BE">
      <w:numFmt w:val="bullet"/>
      <w:lvlText w:val="•"/>
      <w:lvlJc w:val="left"/>
      <w:pPr>
        <w:ind w:left="3650" w:hanging="339"/>
      </w:pPr>
      <w:rPr>
        <w:rFonts w:hint="default"/>
      </w:rPr>
    </w:lvl>
    <w:lvl w:ilvl="7" w:tplc="0BC26A90">
      <w:numFmt w:val="bullet"/>
      <w:lvlText w:val="•"/>
      <w:lvlJc w:val="left"/>
      <w:pPr>
        <w:ind w:left="4002" w:hanging="339"/>
      </w:pPr>
      <w:rPr>
        <w:rFonts w:hint="default"/>
      </w:rPr>
    </w:lvl>
    <w:lvl w:ilvl="8" w:tplc="7C3448E2">
      <w:numFmt w:val="bullet"/>
      <w:lvlText w:val="•"/>
      <w:lvlJc w:val="left"/>
      <w:pPr>
        <w:ind w:left="4354" w:hanging="339"/>
      </w:pPr>
      <w:rPr>
        <w:rFonts w:hint="default"/>
      </w:rPr>
    </w:lvl>
  </w:abstractNum>
  <w:abstractNum w:abstractNumId="6">
    <w:nsid w:val="4D2C52F7"/>
    <w:multiLevelType w:val="hybridMultilevel"/>
    <w:tmpl w:val="30E66672"/>
    <w:lvl w:ilvl="0" w:tplc="A87E7ED6">
      <w:start w:val="1"/>
      <w:numFmt w:val="decimal"/>
      <w:lvlText w:val="%1."/>
      <w:lvlJc w:val="left"/>
      <w:pPr>
        <w:ind w:left="1183" w:hanging="310"/>
        <w:jc w:val="right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355A1A3C">
      <w:numFmt w:val="bullet"/>
      <w:lvlText w:val="•"/>
      <w:lvlJc w:val="left"/>
      <w:pPr>
        <w:ind w:left="1567" w:hanging="310"/>
      </w:pPr>
      <w:rPr>
        <w:rFonts w:hint="default"/>
      </w:rPr>
    </w:lvl>
    <w:lvl w:ilvl="2" w:tplc="BA36404C">
      <w:numFmt w:val="bullet"/>
      <w:lvlText w:val="•"/>
      <w:lvlJc w:val="left"/>
      <w:pPr>
        <w:ind w:left="1955" w:hanging="310"/>
      </w:pPr>
      <w:rPr>
        <w:rFonts w:hint="default"/>
      </w:rPr>
    </w:lvl>
    <w:lvl w:ilvl="3" w:tplc="FE549B8C">
      <w:numFmt w:val="bullet"/>
      <w:lvlText w:val="•"/>
      <w:lvlJc w:val="left"/>
      <w:pPr>
        <w:ind w:left="2343" w:hanging="310"/>
      </w:pPr>
      <w:rPr>
        <w:rFonts w:hint="default"/>
      </w:rPr>
    </w:lvl>
    <w:lvl w:ilvl="4" w:tplc="D9844C28">
      <w:numFmt w:val="bullet"/>
      <w:lvlText w:val="•"/>
      <w:lvlJc w:val="left"/>
      <w:pPr>
        <w:ind w:left="2731" w:hanging="310"/>
      </w:pPr>
      <w:rPr>
        <w:rFonts w:hint="default"/>
      </w:rPr>
    </w:lvl>
    <w:lvl w:ilvl="5" w:tplc="0E563E74">
      <w:numFmt w:val="bullet"/>
      <w:lvlText w:val="•"/>
      <w:lvlJc w:val="left"/>
      <w:pPr>
        <w:ind w:left="3118" w:hanging="310"/>
      </w:pPr>
      <w:rPr>
        <w:rFonts w:hint="default"/>
      </w:rPr>
    </w:lvl>
    <w:lvl w:ilvl="6" w:tplc="605C39B4">
      <w:numFmt w:val="bullet"/>
      <w:lvlText w:val="•"/>
      <w:lvlJc w:val="left"/>
      <w:pPr>
        <w:ind w:left="3506" w:hanging="310"/>
      </w:pPr>
      <w:rPr>
        <w:rFonts w:hint="default"/>
      </w:rPr>
    </w:lvl>
    <w:lvl w:ilvl="7" w:tplc="1CF0AA26">
      <w:numFmt w:val="bullet"/>
      <w:lvlText w:val="•"/>
      <w:lvlJc w:val="left"/>
      <w:pPr>
        <w:ind w:left="3894" w:hanging="310"/>
      </w:pPr>
      <w:rPr>
        <w:rFonts w:hint="default"/>
      </w:rPr>
    </w:lvl>
    <w:lvl w:ilvl="8" w:tplc="1B44669C">
      <w:numFmt w:val="bullet"/>
      <w:lvlText w:val="•"/>
      <w:lvlJc w:val="left"/>
      <w:pPr>
        <w:ind w:left="4282" w:hanging="310"/>
      </w:pPr>
      <w:rPr>
        <w:rFonts w:hint="default"/>
      </w:rPr>
    </w:lvl>
  </w:abstractNum>
  <w:abstractNum w:abstractNumId="7">
    <w:nsid w:val="67C360DD"/>
    <w:multiLevelType w:val="hybridMultilevel"/>
    <w:tmpl w:val="9564C93E"/>
    <w:lvl w:ilvl="0" w:tplc="DE48251A">
      <w:numFmt w:val="bullet"/>
      <w:lvlText w:val=""/>
      <w:lvlJc w:val="left"/>
      <w:pPr>
        <w:ind w:left="8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7B89188B"/>
    <w:multiLevelType w:val="hybridMultilevel"/>
    <w:tmpl w:val="C672B2FE"/>
    <w:lvl w:ilvl="0" w:tplc="2F00756E">
      <w:start w:val="1"/>
      <w:numFmt w:val="decimal"/>
      <w:lvlText w:val="%1."/>
      <w:lvlJc w:val="left"/>
      <w:pPr>
        <w:ind w:left="1257" w:hanging="339"/>
        <w:jc w:val="right"/>
      </w:pPr>
      <w:rPr>
        <w:rFonts w:ascii="Times New Roman" w:eastAsia="Arial" w:hAnsi="Times New Roman" w:cs="Times New Roman"/>
        <w:spacing w:val="-1"/>
        <w:w w:val="103"/>
        <w:sz w:val="20"/>
        <w:szCs w:val="20"/>
      </w:rPr>
    </w:lvl>
    <w:lvl w:ilvl="1" w:tplc="2672448A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2" w:tplc="B04A9478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3" w:tplc="6D002422">
      <w:numFmt w:val="bullet"/>
      <w:lvlText w:val="•"/>
      <w:lvlJc w:val="left"/>
      <w:pPr>
        <w:ind w:left="2020" w:hanging="322"/>
      </w:pPr>
      <w:rPr>
        <w:rFonts w:hint="default"/>
      </w:rPr>
    </w:lvl>
    <w:lvl w:ilvl="4" w:tplc="B120871C">
      <w:numFmt w:val="bullet"/>
      <w:lvlText w:val="•"/>
      <w:lvlJc w:val="left"/>
      <w:pPr>
        <w:ind w:left="1725" w:hanging="322"/>
      </w:pPr>
      <w:rPr>
        <w:rFonts w:hint="default"/>
      </w:rPr>
    </w:lvl>
    <w:lvl w:ilvl="5" w:tplc="D8A8371C">
      <w:numFmt w:val="bullet"/>
      <w:lvlText w:val="•"/>
      <w:lvlJc w:val="left"/>
      <w:pPr>
        <w:ind w:left="1431" w:hanging="322"/>
      </w:pPr>
      <w:rPr>
        <w:rFonts w:hint="default"/>
      </w:rPr>
    </w:lvl>
    <w:lvl w:ilvl="6" w:tplc="A0D6C4B6">
      <w:numFmt w:val="bullet"/>
      <w:lvlText w:val="•"/>
      <w:lvlJc w:val="left"/>
      <w:pPr>
        <w:ind w:left="1137" w:hanging="322"/>
      </w:pPr>
      <w:rPr>
        <w:rFonts w:hint="default"/>
      </w:rPr>
    </w:lvl>
    <w:lvl w:ilvl="7" w:tplc="3126D5FA">
      <w:numFmt w:val="bullet"/>
      <w:lvlText w:val="•"/>
      <w:lvlJc w:val="left"/>
      <w:pPr>
        <w:ind w:left="842" w:hanging="322"/>
      </w:pPr>
      <w:rPr>
        <w:rFonts w:hint="default"/>
      </w:rPr>
    </w:lvl>
    <w:lvl w:ilvl="8" w:tplc="82627E0C">
      <w:numFmt w:val="bullet"/>
      <w:lvlText w:val="•"/>
      <w:lvlJc w:val="left"/>
      <w:pPr>
        <w:ind w:left="548" w:hanging="322"/>
      </w:pPr>
      <w:rPr>
        <w:rFonts w:hint="default"/>
      </w:rPr>
    </w:lvl>
  </w:abstractNum>
  <w:abstractNum w:abstractNumId="9">
    <w:nsid w:val="7E1133F3"/>
    <w:multiLevelType w:val="hybridMultilevel"/>
    <w:tmpl w:val="CF267156"/>
    <w:lvl w:ilvl="0" w:tplc="14F20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471840"/>
    <w:rsid w:val="00003955"/>
    <w:rsid w:val="00020682"/>
    <w:rsid w:val="00035AAD"/>
    <w:rsid w:val="00067EC1"/>
    <w:rsid w:val="00071E8F"/>
    <w:rsid w:val="000776D2"/>
    <w:rsid w:val="000827F6"/>
    <w:rsid w:val="000B1D04"/>
    <w:rsid w:val="000B251D"/>
    <w:rsid w:val="001624ED"/>
    <w:rsid w:val="0017300E"/>
    <w:rsid w:val="00197379"/>
    <w:rsid w:val="001C775F"/>
    <w:rsid w:val="001E56A3"/>
    <w:rsid w:val="00204357"/>
    <w:rsid w:val="00257D43"/>
    <w:rsid w:val="00261D36"/>
    <w:rsid w:val="00285692"/>
    <w:rsid w:val="002C6EC1"/>
    <w:rsid w:val="002F6834"/>
    <w:rsid w:val="00311358"/>
    <w:rsid w:val="00355210"/>
    <w:rsid w:val="0036496E"/>
    <w:rsid w:val="00376CA6"/>
    <w:rsid w:val="003919F8"/>
    <w:rsid w:val="003C16B2"/>
    <w:rsid w:val="004001D3"/>
    <w:rsid w:val="00471840"/>
    <w:rsid w:val="004B6051"/>
    <w:rsid w:val="004C4429"/>
    <w:rsid w:val="004F35E4"/>
    <w:rsid w:val="00505BD3"/>
    <w:rsid w:val="0052663E"/>
    <w:rsid w:val="00563B21"/>
    <w:rsid w:val="005A5EAC"/>
    <w:rsid w:val="005C455D"/>
    <w:rsid w:val="006769DC"/>
    <w:rsid w:val="006A308B"/>
    <w:rsid w:val="007176DD"/>
    <w:rsid w:val="007333EA"/>
    <w:rsid w:val="0074128A"/>
    <w:rsid w:val="00754BAF"/>
    <w:rsid w:val="0079642E"/>
    <w:rsid w:val="00852909"/>
    <w:rsid w:val="00854346"/>
    <w:rsid w:val="008904F9"/>
    <w:rsid w:val="00910734"/>
    <w:rsid w:val="0091259D"/>
    <w:rsid w:val="00920A1B"/>
    <w:rsid w:val="00993E2E"/>
    <w:rsid w:val="00996893"/>
    <w:rsid w:val="009A51F4"/>
    <w:rsid w:val="009B2FF4"/>
    <w:rsid w:val="00A03F17"/>
    <w:rsid w:val="00A07D2E"/>
    <w:rsid w:val="00A3606B"/>
    <w:rsid w:val="00A42B2D"/>
    <w:rsid w:val="00A73F30"/>
    <w:rsid w:val="00AA67E5"/>
    <w:rsid w:val="00AB3F5B"/>
    <w:rsid w:val="00AC0442"/>
    <w:rsid w:val="00AF1817"/>
    <w:rsid w:val="00B27C61"/>
    <w:rsid w:val="00BF7F09"/>
    <w:rsid w:val="00C36355"/>
    <w:rsid w:val="00C52825"/>
    <w:rsid w:val="00C6487A"/>
    <w:rsid w:val="00CA2DC2"/>
    <w:rsid w:val="00CB3A8F"/>
    <w:rsid w:val="00CC30F7"/>
    <w:rsid w:val="00CE6121"/>
    <w:rsid w:val="00D0612D"/>
    <w:rsid w:val="00D16FE2"/>
    <w:rsid w:val="00DC7FD7"/>
    <w:rsid w:val="00DF0786"/>
    <w:rsid w:val="00E00CCA"/>
    <w:rsid w:val="00E13A69"/>
    <w:rsid w:val="00E21AC6"/>
    <w:rsid w:val="00EA64C0"/>
    <w:rsid w:val="00EC70F3"/>
    <w:rsid w:val="00F111DB"/>
    <w:rsid w:val="00F515AF"/>
    <w:rsid w:val="00F83CB7"/>
    <w:rsid w:val="00F86566"/>
    <w:rsid w:val="00FD0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7184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3A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3A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71840"/>
  </w:style>
  <w:style w:type="character" w:customStyle="1" w:styleId="BodyTextChar">
    <w:name w:val="Body Text Char"/>
    <w:basedOn w:val="DefaultParagraphFont"/>
    <w:link w:val="BodyText"/>
    <w:uiPriority w:val="1"/>
    <w:rsid w:val="00471840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471840"/>
    <w:pPr>
      <w:ind w:left="470" w:hanging="360"/>
      <w:jc w:val="both"/>
    </w:pPr>
  </w:style>
  <w:style w:type="paragraph" w:styleId="Subtitle">
    <w:name w:val="Subtitle"/>
    <w:basedOn w:val="Normal"/>
    <w:next w:val="Normal"/>
    <w:link w:val="SubtitleChar"/>
    <w:uiPriority w:val="11"/>
    <w:qFormat/>
    <w:rsid w:val="00CB3A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3A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B3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B3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99"/>
    <w:qFormat/>
    <w:rsid w:val="00CB3A8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376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CA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376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6CA6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CA6"/>
    <w:rPr>
      <w:rFonts w:ascii="Tahoma" w:eastAsia="Arial" w:hAnsi="Tahoma" w:cs="Tahoma"/>
      <w:sz w:val="16"/>
      <w:szCs w:val="16"/>
    </w:rPr>
  </w:style>
  <w:style w:type="paragraph" w:customStyle="1" w:styleId="TableContents">
    <w:name w:val="Table Contents"/>
    <w:basedOn w:val="Normal"/>
    <w:rsid w:val="001624ED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8667252-BC9C-41E8-BE92-5A3C2E06A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2288</Words>
  <Characters>13046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mpetrovic</cp:lastModifiedBy>
  <cp:revision>25</cp:revision>
  <cp:lastPrinted>2022-04-15T09:00:00Z</cp:lastPrinted>
  <dcterms:created xsi:type="dcterms:W3CDTF">2021-03-09T10:20:00Z</dcterms:created>
  <dcterms:modified xsi:type="dcterms:W3CDTF">2022-04-15T09:03:00Z</dcterms:modified>
</cp:coreProperties>
</file>