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19" w:rsidRPr="00B64F84" w:rsidRDefault="00B41E19" w:rsidP="00B41E19">
      <w:pPr>
        <w:pStyle w:val="BodyText"/>
        <w:ind w:left="470" w:right="38"/>
        <w:jc w:val="both"/>
      </w:pPr>
    </w:p>
    <w:p w:rsidR="00E70BA8" w:rsidRPr="00AE3C1B" w:rsidRDefault="009826E6" w:rsidP="00B41E19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8B46CC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9)</w:t>
      </w:r>
      <w:r w:rsidR="008B46CC">
        <w:rPr>
          <w:rFonts w:ascii="Times New Roman" w:hAnsi="Times New Roman" w:cs="Times New Roman"/>
          <w:sz w:val="24"/>
          <w:szCs w:val="24"/>
          <w:lang w:val="sr-Cyrl-CS"/>
        </w:rPr>
        <w:t xml:space="preserve"> и 7)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8B46C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C17E2">
        <w:rPr>
          <w:rFonts w:ascii="Times New Roman" w:hAnsi="Times New Roman" w:cs="Times New Roman"/>
          <w:sz w:val="24"/>
          <w:szCs w:val="24"/>
        </w:rPr>
        <w:t>36/19</w:t>
      </w:r>
      <w:r w:rsidR="008B46CC">
        <w:rPr>
          <w:rFonts w:ascii="Times New Roman" w:hAnsi="Times New Roman" w:cs="Times New Roman"/>
          <w:sz w:val="24"/>
          <w:szCs w:val="24"/>
          <w:lang w:val="sr-Cyrl-CS"/>
        </w:rPr>
        <w:t xml:space="preserve"> и 61/21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8B46CC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8B46CC">
        <w:rPr>
          <w:rFonts w:ascii="Times New Roman" w:hAnsi="Times New Roman" w:cs="Times New Roman"/>
          <w:sz w:val="24"/>
          <w:szCs w:val="24"/>
        </w:rPr>
        <w:t xml:space="preserve"> </w:t>
      </w:r>
      <w:r w:rsidR="008B46CC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8B46CC">
        <w:rPr>
          <w:rFonts w:ascii="Times New Roman" w:hAnsi="Times New Roman" w:cs="Times New Roman"/>
          <w:sz w:val="24"/>
          <w:szCs w:val="24"/>
        </w:rPr>
        <w:t>2</w:t>
      </w:r>
      <w:r w:rsidR="008B46C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 w:rsidR="008B46CC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</w:t>
      </w:r>
      <w:r w:rsidR="008B46CC">
        <w:rPr>
          <w:rFonts w:ascii="Times New Roman" w:hAnsi="Times New Roman" w:cs="Times New Roman"/>
          <w:sz w:val="24"/>
          <w:szCs w:val="24"/>
          <w:lang w:val="sr-Cyrl-CS"/>
        </w:rPr>
        <w:t xml:space="preserve"> и 43)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 w:rsidR="00333A35">
        <w:rPr>
          <w:rFonts w:ascii="Times New Roman" w:hAnsi="Times New Roman" w:cs="Times New Roman"/>
          <w:sz w:val="24"/>
          <w:szCs w:val="24"/>
        </w:rPr>
        <w:t xml:space="preserve">и прибављене Сагласности 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5F22D7">
        <w:rPr>
          <w:rFonts w:ascii="Times New Roman" w:hAnsi="Times New Roman" w:cs="Times New Roman"/>
          <w:sz w:val="24"/>
          <w:szCs w:val="24"/>
        </w:rPr>
        <w:t>a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РС,</w:t>
      </w:r>
      <w:r w:rsidR="00333A35">
        <w:rPr>
          <w:rFonts w:ascii="Times New Roman" w:hAnsi="Times New Roman" w:cs="Times New Roman"/>
          <w:sz w:val="24"/>
          <w:szCs w:val="24"/>
        </w:rPr>
        <w:t xml:space="preserve"> 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број: </w:t>
      </w:r>
      <w:r w:rsidR="000859C6">
        <w:rPr>
          <w:rFonts w:ascii="Times New Roman" w:hAnsi="Times New Roman" w:cs="Times New Roman"/>
          <w:sz w:val="24"/>
          <w:szCs w:val="24"/>
        </w:rPr>
        <w:t>500-1161-1/23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0859C6">
        <w:rPr>
          <w:rFonts w:ascii="Times New Roman" w:hAnsi="Times New Roman" w:cs="Times New Roman"/>
          <w:sz w:val="24"/>
          <w:szCs w:val="24"/>
        </w:rPr>
        <w:t>22.02.2023.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260F3A">
        <w:rPr>
          <w:rFonts w:ascii="Times New Roman" w:hAnsi="Times New Roman" w:cs="Times New Roman"/>
          <w:sz w:val="24"/>
          <w:szCs w:val="24"/>
          <w:lang w:val="sr-Cyrl-CS"/>
        </w:rPr>
        <w:t xml:space="preserve">21.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260F3A">
        <w:rPr>
          <w:rFonts w:ascii="Times New Roman" w:hAnsi="Times New Roman" w:cs="Times New Roman"/>
          <w:sz w:val="24"/>
          <w:szCs w:val="24"/>
          <w:lang w:val="sr-Cyrl-BA"/>
        </w:rPr>
        <w:t xml:space="preserve"> 18. маја 2023.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донијела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E70BA8" w:rsidRPr="004C17E2" w:rsidRDefault="009826E6" w:rsidP="00B41E19">
      <w:pPr>
        <w:spacing w:before="1"/>
        <w:ind w:left="996" w:right="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20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2558A">
        <w:rPr>
          <w:rFonts w:ascii="Times New Roman" w:hAnsi="Times New Roman" w:cs="Times New Roman"/>
          <w:sz w:val="24"/>
          <w:szCs w:val="24"/>
        </w:rPr>
        <w:t>3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7.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превоз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9826E6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 w:rsidR="009826E6"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Default="00801E5D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FD0AA9" w:rsidRPr="00FD0AA9" w:rsidRDefault="00FD0AA9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517D9">
        <w:rPr>
          <w:rFonts w:ascii="Times New Roman" w:hAnsi="Times New Roman" w:cs="Times New Roman"/>
          <w:sz w:val="24"/>
          <w:szCs w:val="24"/>
        </w:rPr>
        <w:t>зараз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9826E6">
        <w:rPr>
          <w:rFonts w:ascii="Times New Roman" w:hAnsi="Times New Roman" w:cs="Times New Roman"/>
          <w:sz w:val="24"/>
          <w:szCs w:val="24"/>
        </w:rPr>
        <w:t>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sz w:val="24"/>
          <w:szCs w:val="24"/>
        </w:rPr>
        <w:t>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826E6">
        <w:rPr>
          <w:rFonts w:ascii="Times New Roman" w:hAnsi="Times New Roman" w:cs="Times New Roman"/>
          <w:sz w:val="24"/>
          <w:szCs w:val="24"/>
        </w:rPr>
        <w:t>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спроведене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иисекти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="00226148">
        <w:rPr>
          <w:rFonts w:ascii="Times New Roman" w:hAnsi="Times New Roman" w:cs="Times New Roman"/>
          <w:spacing w:val="-8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6517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хеморагичне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бубрежним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9826E6">
        <w:rPr>
          <w:rFonts w:ascii="Times New Roman" w:hAnsi="Times New Roman" w:cs="Times New Roman"/>
          <w:sz w:val="24"/>
          <w:szCs w:val="24"/>
        </w:rPr>
        <w:t>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sz w:val="24"/>
          <w:szCs w:val="24"/>
        </w:rPr>
        <w:t>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 w:rsidR="009826E6"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 w:rsidR="009826E6"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 w:rsidR="005420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226148" w:rsidRDefault="009826E6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резервоари</w:t>
      </w: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Pr="00AE3C1B">
        <w:rPr>
          <w:rFonts w:ascii="Times New Roman" w:hAnsi="Times New Roman" w:cs="Times New Roman"/>
          <w:sz w:val="24"/>
          <w:szCs w:val="24"/>
        </w:rPr>
        <w:t>/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куга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грознице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синдромом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пјегавац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лајшманијаза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самонелозе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трихинелоза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трипаносомијаза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угриза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Содоку</w:t>
      </w:r>
      <w:r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бјеснило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итд</w:t>
      </w:r>
      <w:r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226148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>њ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226148"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разм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BA577C" w:rsidP="00BA57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нај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ва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53F26" w:rsidRDefault="00BA577C" w:rsidP="00F9245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отпад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 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огодног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Гамбусиа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аф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ф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F542E3" w:rsidP="00BB031A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BB031A">
      <w:pPr>
        <w:spacing w:before="8" w:line="247" w:lineRule="auto"/>
        <w:ind w:right="90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регу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гранулатора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упут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ств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Сп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w w:val="105"/>
          <w:sz w:val="24"/>
          <w:szCs w:val="24"/>
        </w:rPr>
        <w:t>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.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зи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однос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014A97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014A97" w:rsidP="00014A97">
      <w:p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</w:p>
    <w:p w:rsidR="00014A97" w:rsidRPr="00BB031A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BB031A" w:rsidRPr="00F542E3" w:rsidRDefault="00BB031A" w:rsidP="00BB031A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садрж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а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Default="00F542E3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стано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311B4" w:rsidRDefault="000311B4" w:rsidP="009826E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60F3A" w:rsidRPr="000311B4" w:rsidRDefault="00260F3A" w:rsidP="009826E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4A97" w:rsidRPr="000311B4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Буве</w:t>
      </w:r>
    </w:p>
    <w:p w:rsidR="000311B4" w:rsidRPr="00F542E3" w:rsidRDefault="000311B4" w:rsidP="000311B4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311B4">
      <w:pPr>
        <w:tabs>
          <w:tab w:val="left" w:pos="2973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  <w:tab w:val="left" w:pos="1080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311B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311B4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кој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311B4">
      <w:pPr>
        <w:spacing w:before="12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lastRenderedPageBreak/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став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Регионалног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0311B4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426FC6">
        <w:rPr>
          <w:rFonts w:ascii="Times New Roman" w:hAnsi="Times New Roman" w:cs="Times New Roman"/>
          <w:w w:val="105"/>
          <w:sz w:val="24"/>
          <w:szCs w:val="24"/>
        </w:rPr>
        <w:t>,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  <w:tab w:val="left" w:pos="10800"/>
        </w:tabs>
        <w:spacing w:before="3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426FC6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426FC6" w:rsidP="00426FC6">
      <w:pPr>
        <w:tabs>
          <w:tab w:val="left" w:pos="1405"/>
        </w:tabs>
        <w:spacing w:before="2" w:line="283" w:lineRule="auto"/>
        <w:ind w:left="360" w:right="65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558A" w:rsidRPr="00A2558A" w:rsidRDefault="009826E6" w:rsidP="00A2558A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A2558A" w:rsidRPr="00A2558A" w:rsidRDefault="00A2558A" w:rsidP="00A2558A">
      <w:pPr>
        <w:pStyle w:val="ListParagraph"/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left="1190" w:right="651" w:firstLine="0"/>
        <w:rPr>
          <w:rFonts w:ascii="Times New Roman" w:hAnsi="Times New Roman" w:cs="Times New Roman"/>
          <w:b/>
          <w:sz w:val="24"/>
          <w:szCs w:val="24"/>
        </w:rPr>
      </w:pPr>
    </w:p>
    <w:p w:rsidR="00A2558A" w:rsidRPr="00426FC6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936BFB" w:rsidRDefault="00936BFB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9826E6" w:rsidP="00426FC6">
      <w:pPr>
        <w:spacing w:before="97"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ј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2558A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80198C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A2558A" w:rsidRDefault="00A2558A" w:rsidP="00A25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198C" w:rsidRPr="0080198C" w:rsidRDefault="009826E6" w:rsidP="0080198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tbl>
      <w:tblPr>
        <w:tblW w:w="0" w:type="auto"/>
        <w:tblInd w:w="622" w:type="dxa"/>
        <w:tblLook w:val="04A0"/>
      </w:tblPr>
      <w:tblGrid>
        <w:gridCol w:w="3794"/>
        <w:gridCol w:w="1727"/>
        <w:gridCol w:w="4055"/>
      </w:tblGrid>
      <w:tr w:rsidR="00260F3A" w:rsidTr="00260F3A">
        <w:tc>
          <w:tcPr>
            <w:tcW w:w="3794" w:type="dxa"/>
            <w:hideMark/>
          </w:tcPr>
          <w:p w:rsidR="00260F3A" w:rsidRDefault="00260F3A" w:rsidP="008019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80198C">
              <w:rPr>
                <w:rFonts w:ascii="Times New Roman" w:hAnsi="Times New Roman"/>
                <w:sz w:val="24"/>
                <w:szCs w:val="24"/>
                <w:lang w:val="sr-Cyrl-CS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727" w:type="dxa"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60F3A" w:rsidRDefault="00260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60F3A" w:rsidTr="00260F3A">
        <w:tc>
          <w:tcPr>
            <w:tcW w:w="3794" w:type="dxa"/>
            <w:hideMark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60F3A" w:rsidTr="00260F3A">
        <w:tc>
          <w:tcPr>
            <w:tcW w:w="3794" w:type="dxa"/>
            <w:hideMark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18. мај 2023. године</w:t>
            </w:r>
          </w:p>
        </w:tc>
        <w:tc>
          <w:tcPr>
            <w:tcW w:w="1727" w:type="dxa"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60F3A" w:rsidTr="00260F3A">
        <w:tc>
          <w:tcPr>
            <w:tcW w:w="3794" w:type="dxa"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60F3A" w:rsidRDefault="00260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80198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260F3A" w:rsidTr="00260F3A">
        <w:tc>
          <w:tcPr>
            <w:tcW w:w="3794" w:type="dxa"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60F3A" w:rsidRDefault="00260F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60F3A" w:rsidRDefault="00260F3A">
            <w:pPr>
              <w:spacing w:after="0"/>
              <w:rPr>
                <w:rFonts w:eastAsiaTheme="minorEastAsia" w:cs="Times New Roman"/>
                <w:lang w:val="sr-Latn-CS" w:eastAsia="sr-Latn-CS"/>
              </w:rPr>
            </w:pPr>
          </w:p>
        </w:tc>
      </w:tr>
    </w:tbl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Pr="00A906A4" w:rsidRDefault="00286C4F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Pr="00260F3A" w:rsidRDefault="00617479" w:rsidP="00260F3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sr-Cyrl-CS"/>
        </w:rPr>
      </w:pPr>
    </w:p>
    <w:sectPr w:rsidR="00617479" w:rsidRPr="00260F3A" w:rsidSect="00617479">
      <w:pgSz w:w="12240" w:h="15840"/>
      <w:pgMar w:top="720" w:right="720" w:bottom="117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8C3" w:rsidRDefault="004C78C3" w:rsidP="00E70BA8">
      <w:pPr>
        <w:spacing w:after="0" w:line="240" w:lineRule="auto"/>
      </w:pPr>
      <w:r>
        <w:separator/>
      </w:r>
    </w:p>
  </w:endnote>
  <w:endnote w:type="continuationSeparator" w:id="0">
    <w:p w:rsidR="004C78C3" w:rsidRDefault="004C78C3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8C3" w:rsidRDefault="004C78C3" w:rsidP="00E70BA8">
      <w:pPr>
        <w:spacing w:after="0" w:line="240" w:lineRule="auto"/>
      </w:pPr>
      <w:r>
        <w:separator/>
      </w:r>
    </w:p>
  </w:footnote>
  <w:footnote w:type="continuationSeparator" w:id="0">
    <w:p w:rsidR="004C78C3" w:rsidRDefault="004C78C3" w:rsidP="00E70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BA8"/>
    <w:rsid w:val="00014A97"/>
    <w:rsid w:val="00023558"/>
    <w:rsid w:val="000311B4"/>
    <w:rsid w:val="00046388"/>
    <w:rsid w:val="000505F3"/>
    <w:rsid w:val="000859C6"/>
    <w:rsid w:val="000873C2"/>
    <w:rsid w:val="000A4F86"/>
    <w:rsid w:val="000D4690"/>
    <w:rsid w:val="000F2F95"/>
    <w:rsid w:val="00102B0C"/>
    <w:rsid w:val="00136830"/>
    <w:rsid w:val="00144C8E"/>
    <w:rsid w:val="0016270A"/>
    <w:rsid w:val="00192AD1"/>
    <w:rsid w:val="001A0918"/>
    <w:rsid w:val="001B6AD0"/>
    <w:rsid w:val="001C1578"/>
    <w:rsid w:val="00201031"/>
    <w:rsid w:val="00226148"/>
    <w:rsid w:val="00260F3A"/>
    <w:rsid w:val="00280450"/>
    <w:rsid w:val="00286C4F"/>
    <w:rsid w:val="002D2036"/>
    <w:rsid w:val="002D3931"/>
    <w:rsid w:val="002E0F07"/>
    <w:rsid w:val="0030576F"/>
    <w:rsid w:val="003123B1"/>
    <w:rsid w:val="00333A35"/>
    <w:rsid w:val="00335B7B"/>
    <w:rsid w:val="00357260"/>
    <w:rsid w:val="00361ED7"/>
    <w:rsid w:val="003E1295"/>
    <w:rsid w:val="0040145B"/>
    <w:rsid w:val="00426FC6"/>
    <w:rsid w:val="0045154F"/>
    <w:rsid w:val="004C17E2"/>
    <w:rsid w:val="004C78C3"/>
    <w:rsid w:val="004F4D55"/>
    <w:rsid w:val="00505B78"/>
    <w:rsid w:val="00511F10"/>
    <w:rsid w:val="005420F0"/>
    <w:rsid w:val="00573C0B"/>
    <w:rsid w:val="0058161F"/>
    <w:rsid w:val="005A195D"/>
    <w:rsid w:val="005F22D7"/>
    <w:rsid w:val="00617479"/>
    <w:rsid w:val="00632953"/>
    <w:rsid w:val="006517D9"/>
    <w:rsid w:val="00674031"/>
    <w:rsid w:val="006A0155"/>
    <w:rsid w:val="006A769C"/>
    <w:rsid w:val="006E60F4"/>
    <w:rsid w:val="0071433A"/>
    <w:rsid w:val="0073375F"/>
    <w:rsid w:val="00747041"/>
    <w:rsid w:val="00752213"/>
    <w:rsid w:val="0075448C"/>
    <w:rsid w:val="00754BAF"/>
    <w:rsid w:val="00786786"/>
    <w:rsid w:val="007A2049"/>
    <w:rsid w:val="007B27B5"/>
    <w:rsid w:val="007D46C5"/>
    <w:rsid w:val="007E769A"/>
    <w:rsid w:val="00800403"/>
    <w:rsid w:val="0080198C"/>
    <w:rsid w:val="00801E5D"/>
    <w:rsid w:val="008B0808"/>
    <w:rsid w:val="008B46CC"/>
    <w:rsid w:val="008B66D9"/>
    <w:rsid w:val="008D4534"/>
    <w:rsid w:val="008F7951"/>
    <w:rsid w:val="0093171D"/>
    <w:rsid w:val="00936BFB"/>
    <w:rsid w:val="00937CD4"/>
    <w:rsid w:val="00975A7D"/>
    <w:rsid w:val="00976119"/>
    <w:rsid w:val="009826E6"/>
    <w:rsid w:val="009B61B6"/>
    <w:rsid w:val="009E212E"/>
    <w:rsid w:val="009E4B92"/>
    <w:rsid w:val="009F0FA0"/>
    <w:rsid w:val="00A22959"/>
    <w:rsid w:val="00A2558A"/>
    <w:rsid w:val="00A30A27"/>
    <w:rsid w:val="00A53F26"/>
    <w:rsid w:val="00A549EE"/>
    <w:rsid w:val="00A855AA"/>
    <w:rsid w:val="00A906A4"/>
    <w:rsid w:val="00AE3C1B"/>
    <w:rsid w:val="00B115B5"/>
    <w:rsid w:val="00B35461"/>
    <w:rsid w:val="00B41E19"/>
    <w:rsid w:val="00B45542"/>
    <w:rsid w:val="00B64F84"/>
    <w:rsid w:val="00B702D4"/>
    <w:rsid w:val="00BA1422"/>
    <w:rsid w:val="00BA577C"/>
    <w:rsid w:val="00BB031A"/>
    <w:rsid w:val="00BB1F36"/>
    <w:rsid w:val="00BC7F28"/>
    <w:rsid w:val="00BF70E0"/>
    <w:rsid w:val="00C16CEB"/>
    <w:rsid w:val="00C22F53"/>
    <w:rsid w:val="00C51F97"/>
    <w:rsid w:val="00C60914"/>
    <w:rsid w:val="00C64861"/>
    <w:rsid w:val="00C72DAE"/>
    <w:rsid w:val="00C749C2"/>
    <w:rsid w:val="00C83D01"/>
    <w:rsid w:val="00C849E7"/>
    <w:rsid w:val="00CC6174"/>
    <w:rsid w:val="00CD30BD"/>
    <w:rsid w:val="00CE6878"/>
    <w:rsid w:val="00D17EF6"/>
    <w:rsid w:val="00D30B08"/>
    <w:rsid w:val="00D455FB"/>
    <w:rsid w:val="00DB2758"/>
    <w:rsid w:val="00DC30A4"/>
    <w:rsid w:val="00E70BA8"/>
    <w:rsid w:val="00EA4A83"/>
    <w:rsid w:val="00EF7711"/>
    <w:rsid w:val="00F02A45"/>
    <w:rsid w:val="00F33A77"/>
    <w:rsid w:val="00F542E3"/>
    <w:rsid w:val="00F92456"/>
    <w:rsid w:val="00F94734"/>
    <w:rsid w:val="00FB1056"/>
    <w:rsid w:val="00FD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55E0EC-DC69-4917-8185-2229B4CB4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4480</Words>
  <Characters>25537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29958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7</cp:revision>
  <cp:lastPrinted>2023-05-19T09:31:00Z</cp:lastPrinted>
  <dcterms:created xsi:type="dcterms:W3CDTF">2023-04-19T06:01:00Z</dcterms:created>
  <dcterms:modified xsi:type="dcterms:W3CDTF">2023-05-19T09:36:00Z</dcterms:modified>
</cp:coreProperties>
</file>