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F7" w:rsidRPr="00AE3C1B" w:rsidRDefault="001624ED" w:rsidP="0059792E">
      <w:pPr>
        <w:pStyle w:val="BodyText"/>
        <w:ind w:right="38" w:firstLine="6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основу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16.</w:t>
      </w:r>
      <w:proofErr w:type="gramEnd"/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(1)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становништва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заразних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болести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90/17</w:t>
      </w:r>
      <w:r w:rsidR="005413E4">
        <w:rPr>
          <w:rFonts w:ascii="Times New Roman" w:hAnsi="Times New Roman" w:cs="Times New Roman"/>
          <w:sz w:val="24"/>
          <w:szCs w:val="24"/>
        </w:rPr>
        <w:t>, 42/20, 98/20 и 63/22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5065EA">
        <w:rPr>
          <w:rFonts w:ascii="Times New Roman" w:hAnsi="Times New Roman" w:cs="Times New Roman"/>
          <w:sz w:val="24"/>
          <w:szCs w:val="24"/>
          <w:lang w:val="sr-Cyrl-BA"/>
        </w:rPr>
        <w:t>ана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. 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(2) </w:t>
      </w:r>
      <w:r>
        <w:rPr>
          <w:rFonts w:ascii="Times New Roman" w:hAnsi="Times New Roman" w:cs="Times New Roman"/>
          <w:sz w:val="24"/>
          <w:szCs w:val="24"/>
        </w:rPr>
        <w:t>тачка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9) </w:t>
      </w:r>
      <w:r w:rsidR="000D4AC8">
        <w:rPr>
          <w:rFonts w:ascii="Times New Roman" w:hAnsi="Times New Roman" w:cs="Times New Roman"/>
          <w:sz w:val="24"/>
          <w:szCs w:val="24"/>
          <w:lang w:val="sr-Cyrl-BA"/>
        </w:rPr>
        <w:t xml:space="preserve">и 7) </w:t>
      </w:r>
      <w:r>
        <w:rPr>
          <w:rFonts w:ascii="Times New Roman" w:hAnsi="Times New Roman" w:cs="Times New Roman"/>
          <w:sz w:val="24"/>
          <w:szCs w:val="24"/>
        </w:rPr>
        <w:t>Закона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локалној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самоуправи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97/16</w:t>
      </w:r>
      <w:r w:rsidR="000D4AC8">
        <w:rPr>
          <w:rFonts w:ascii="Times New Roman" w:hAnsi="Times New Roman" w:cs="Times New Roman"/>
          <w:sz w:val="24"/>
          <w:szCs w:val="24"/>
          <w:lang w:val="sr-Cyrl-BA"/>
        </w:rPr>
        <w:t>, 3</w:t>
      </w:r>
      <w:r w:rsidR="00CC30F7">
        <w:rPr>
          <w:rFonts w:ascii="Times New Roman" w:hAnsi="Times New Roman" w:cs="Times New Roman"/>
          <w:sz w:val="24"/>
          <w:szCs w:val="24"/>
        </w:rPr>
        <w:t>6/19</w:t>
      </w:r>
      <w:r w:rsidR="000D4AC8">
        <w:rPr>
          <w:rFonts w:ascii="Times New Roman" w:hAnsi="Times New Roman" w:cs="Times New Roman"/>
          <w:sz w:val="24"/>
          <w:szCs w:val="24"/>
          <w:lang w:val="sr-Cyrl-BA"/>
        </w:rPr>
        <w:t xml:space="preserve"> и 61/21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9B61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r w:rsidR="00CC30F7">
        <w:rPr>
          <w:rFonts w:ascii="Times New Roman" w:hAnsi="Times New Roman" w:cs="Times New Roman"/>
          <w:sz w:val="24"/>
          <w:szCs w:val="24"/>
        </w:rPr>
        <w:t xml:space="preserve">39.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59792E">
        <w:rPr>
          <w:rFonts w:ascii="Times New Roman" w:hAnsi="Times New Roman" w:cs="Times New Roman"/>
          <w:sz w:val="24"/>
          <w:szCs w:val="24"/>
        </w:rPr>
        <w:t xml:space="preserve"> (2)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hAnsi="Times New Roman" w:cs="Times New Roman"/>
          <w:sz w:val="24"/>
          <w:szCs w:val="24"/>
        </w:rPr>
        <w:t>ачка</w:t>
      </w:r>
      <w:r w:rsidR="00CC30F7">
        <w:rPr>
          <w:rFonts w:ascii="Times New Roman" w:hAnsi="Times New Roman" w:cs="Times New Roman"/>
          <w:sz w:val="24"/>
          <w:szCs w:val="24"/>
        </w:rPr>
        <w:t xml:space="preserve"> 9)</w:t>
      </w:r>
      <w:r w:rsidR="000D4AC8">
        <w:rPr>
          <w:rFonts w:ascii="Times New Roman" w:hAnsi="Times New Roman" w:cs="Times New Roman"/>
          <w:sz w:val="24"/>
          <w:szCs w:val="24"/>
          <w:lang w:val="sr-Cyrl-BA"/>
        </w:rPr>
        <w:t xml:space="preserve"> и 43)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CC30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(„</w:t>
      </w:r>
      <w:r>
        <w:rPr>
          <w:rFonts w:ascii="Times New Roman" w:hAnsi="Times New Roman" w:cs="Times New Roman"/>
          <w:sz w:val="24"/>
          <w:szCs w:val="24"/>
        </w:rPr>
        <w:t>Службени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гласник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“,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797748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 w:rsidR="00996893">
        <w:rPr>
          <w:rFonts w:ascii="Times New Roman" w:hAnsi="Times New Roman" w:cs="Times New Roman"/>
          <w:sz w:val="24"/>
          <w:szCs w:val="24"/>
        </w:rPr>
        <w:t>9</w:t>
      </w:r>
      <w:r w:rsidR="00CE5A23">
        <w:rPr>
          <w:rFonts w:ascii="Times New Roman" w:hAnsi="Times New Roman" w:cs="Times New Roman"/>
          <w:sz w:val="24"/>
          <w:szCs w:val="24"/>
        </w:rPr>
        <w:t xml:space="preserve">/17) и прибављене Сагласности 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>ЈЗУ Институт</w:t>
      </w:r>
      <w:r w:rsidR="0068353D">
        <w:rPr>
          <w:rFonts w:ascii="Times New Roman" w:hAnsi="Times New Roman" w:cs="Times New Roman"/>
          <w:sz w:val="24"/>
          <w:szCs w:val="24"/>
        </w:rPr>
        <w:t>a</w:t>
      </w:r>
      <w:r w:rsidR="000768AA">
        <w:rPr>
          <w:rFonts w:ascii="Times New Roman" w:hAnsi="Times New Roman" w:cs="Times New Roman"/>
          <w:sz w:val="24"/>
          <w:szCs w:val="24"/>
          <w:lang w:val="sr-Cyrl-CS"/>
        </w:rPr>
        <w:t xml:space="preserve"> за јавно здравство РС</w:t>
      </w:r>
      <w:r w:rsidR="000768AA">
        <w:rPr>
          <w:rFonts w:ascii="Times New Roman" w:hAnsi="Times New Roman" w:cs="Times New Roman"/>
          <w:sz w:val="24"/>
          <w:szCs w:val="24"/>
        </w:rPr>
        <w:t>,</w:t>
      </w:r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 број:</w:t>
      </w:r>
      <w:r w:rsidR="000768AA">
        <w:rPr>
          <w:rFonts w:ascii="Times New Roman" w:hAnsi="Times New Roman" w:cs="Times New Roman"/>
          <w:sz w:val="24"/>
          <w:szCs w:val="24"/>
        </w:rPr>
        <w:t xml:space="preserve"> 500-1567-1/24</w:t>
      </w:r>
      <w:r w:rsidR="000768AA">
        <w:rPr>
          <w:rFonts w:ascii="Times New Roman" w:hAnsi="Times New Roman" w:cs="Times New Roman"/>
          <w:sz w:val="24"/>
          <w:szCs w:val="24"/>
          <w:lang w:val="sr-Cyrl-CS"/>
        </w:rPr>
        <w:t xml:space="preserve"> од</w:t>
      </w:r>
      <w:r w:rsidR="000768AA">
        <w:rPr>
          <w:rFonts w:ascii="Times New Roman" w:hAnsi="Times New Roman" w:cs="Times New Roman"/>
          <w:sz w:val="24"/>
          <w:szCs w:val="24"/>
        </w:rPr>
        <w:t xml:space="preserve"> 10.04.2024. </w:t>
      </w:r>
      <w:proofErr w:type="gramStart"/>
      <w:r w:rsidR="000768AA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CE5A2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Скупштина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CC30F7" w:rsidRPr="00AE3C1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="00CC30F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0D4AC8">
        <w:rPr>
          <w:rFonts w:ascii="Times New Roman" w:hAnsi="Times New Roman" w:cs="Times New Roman"/>
          <w:sz w:val="24"/>
          <w:szCs w:val="24"/>
          <w:lang w:val="sr-Cyrl-BA"/>
        </w:rPr>
        <w:t xml:space="preserve"> 28.</w:t>
      </w:r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gramEnd"/>
      <w:r w:rsidR="00CC3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одржаној</w:t>
      </w:r>
      <w:r w:rsidR="000D4AC8">
        <w:rPr>
          <w:rFonts w:ascii="Times New Roman" w:hAnsi="Times New Roman" w:cs="Times New Roman"/>
          <w:sz w:val="24"/>
          <w:szCs w:val="24"/>
          <w:lang w:val="sr-Cyrl-BA"/>
        </w:rPr>
        <w:t xml:space="preserve"> 5. јуна 2024.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CC30F7" w:rsidRPr="00AE3C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</w:t>
      </w:r>
      <w:r w:rsidR="00CC30F7" w:rsidRPr="00AE3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CC30F7" w:rsidRPr="00AE3C1B" w:rsidRDefault="00CC30F7" w:rsidP="00CC30F7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CB3A8F" w:rsidRPr="00996893" w:rsidRDefault="00CC30F7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CB3A8F" w:rsidRDefault="001624ED" w:rsidP="00CB3A8F">
      <w:pPr>
        <w:spacing w:line="226" w:lineRule="exact"/>
        <w:ind w:left="611" w:right="61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B3A8F" w:rsidRPr="00CB3A8F" w:rsidRDefault="001624ED" w:rsidP="00CB3A8F">
      <w:pPr>
        <w:spacing w:before="2" w:line="235" w:lineRule="auto"/>
        <w:ind w:left="611" w:right="6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Систематске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превентивне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дезинсекције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CB3A8F" w:rsidRPr="00CB3A8F" w:rsidRDefault="00261D36" w:rsidP="00CB3A8F">
      <w:pPr>
        <w:spacing w:before="3" w:line="235" w:lineRule="auto"/>
        <w:ind w:left="1178" w:right="118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</w:t>
      </w:r>
      <w:r w:rsidR="001624ED">
        <w:rPr>
          <w:rFonts w:ascii="Times New Roman" w:hAnsi="Times New Roman" w:cs="Times New Roman"/>
          <w:b/>
          <w:sz w:val="24"/>
          <w:szCs w:val="24"/>
        </w:rPr>
        <w:t>а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подручје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6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Града</w:t>
      </w:r>
      <w:r w:rsidR="00CB3A8F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w w:val="105"/>
          <w:sz w:val="24"/>
          <w:szCs w:val="24"/>
        </w:rPr>
        <w:t>Бијељина</w:t>
      </w:r>
      <w:r w:rsidR="0085434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b/>
          <w:sz w:val="24"/>
          <w:szCs w:val="24"/>
        </w:rPr>
        <w:t>за</w:t>
      </w:r>
      <w:r w:rsidR="00C5282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CC23F2">
        <w:rPr>
          <w:rFonts w:ascii="Times New Roman" w:hAnsi="Times New Roman" w:cs="Times New Roman"/>
          <w:b/>
          <w:sz w:val="24"/>
          <w:szCs w:val="24"/>
        </w:rPr>
        <w:t>4</w:t>
      </w:r>
      <w:r w:rsidR="00CB3A8F" w:rsidRPr="00CB3A8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1624ED">
        <w:rPr>
          <w:rFonts w:ascii="Times New Roman" w:hAnsi="Times New Roman" w:cs="Times New Roman"/>
          <w:b/>
          <w:sz w:val="24"/>
          <w:szCs w:val="24"/>
        </w:rPr>
        <w:t>годину</w:t>
      </w:r>
      <w:proofErr w:type="gramEnd"/>
    </w:p>
    <w:p w:rsidR="00CB3A8F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996893" w:rsidRDefault="00CB3A8F" w:rsidP="00CB3A8F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</w:p>
    <w:p w:rsidR="00CB3A8F" w:rsidRPr="00376CA6" w:rsidRDefault="001624ED" w:rsidP="00376CA6">
      <w:pPr>
        <w:pStyle w:val="ListParagraph"/>
        <w:numPr>
          <w:ilvl w:val="0"/>
          <w:numId w:val="9"/>
        </w:numPr>
        <w:spacing w:line="229" w:lineRule="exact"/>
        <w:ind w:right="433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CB3A8F" w:rsidRDefault="00CB3A8F" w:rsidP="00CB3A8F">
      <w:pPr>
        <w:spacing w:line="229" w:lineRule="exact"/>
        <w:ind w:left="611"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Pr="00CB3A8F" w:rsidRDefault="0052663E" w:rsidP="00CB3A8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624ED">
        <w:rPr>
          <w:rFonts w:ascii="Times New Roman" w:hAnsi="Times New Roman" w:cs="Times New Roman"/>
          <w:sz w:val="24"/>
          <w:szCs w:val="24"/>
        </w:rPr>
        <w:t>Познато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имају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мјерљив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временске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sz w:val="24"/>
          <w:szCs w:val="24"/>
        </w:rPr>
        <w:t>прилике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Европи</w:t>
      </w:r>
      <w:r w:rsidR="00FA59C4">
        <w:rPr>
          <w:rFonts w:ascii="Times New Roman" w:hAnsi="Times New Roman" w:cs="Times New Roman"/>
          <w:sz w:val="24"/>
          <w:szCs w:val="24"/>
        </w:rPr>
        <w:t>,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виду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повећања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просјечних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вриједности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количине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падавина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те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очекују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све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чешћи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таласи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врућина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суша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поплаве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624ED">
        <w:rPr>
          <w:rFonts w:ascii="Times New Roman" w:hAnsi="Times New Roman" w:cs="Times New Roman"/>
          <w:sz w:val="24"/>
          <w:szCs w:val="24"/>
        </w:rPr>
        <w:t>Једна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од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посљедица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климатских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промјена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је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њихов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распрострањености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сезонске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варијације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људи</w:t>
      </w:r>
      <w:r w:rsidR="00CB3A8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sz w:val="24"/>
          <w:szCs w:val="24"/>
        </w:rPr>
        <w:t>То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уствари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подразумијева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ширење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већ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постојећих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подручјима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гдје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раније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није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било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sz w:val="24"/>
          <w:szCs w:val="24"/>
        </w:rPr>
        <w:t>али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појаву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нових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заразних</w:t>
      </w:r>
      <w:r w:rsidR="00CB3A8F">
        <w:rPr>
          <w:rFonts w:ascii="Times New Roman" w:hAnsi="Times New Roman" w:cs="Times New Roman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3A8F" w:rsidRPr="00CB3A8F" w:rsidRDefault="00CB3A8F" w:rsidP="00CB3A8F">
      <w:pPr>
        <w:spacing w:line="229" w:lineRule="exact"/>
        <w:ind w:right="433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3A8F" w:rsidRDefault="0052663E" w:rsidP="00996893">
      <w:pPr>
        <w:spacing w:before="13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Највећи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утицај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извјесно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него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доспије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организам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свог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домаћина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проведе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крпељи</w:t>
      </w:r>
      <w:r w:rsidR="00797748">
        <w:rPr>
          <w:rFonts w:ascii="Times New Roman" w:hAnsi="Times New Roman" w:cs="Times New Roman"/>
          <w:w w:val="105"/>
          <w:sz w:val="24"/>
          <w:szCs w:val="24"/>
          <w:lang w:val="sr-Cyrl-CS"/>
        </w:rPr>
        <w:t>,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различите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Вектори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организми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механизме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одржавање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тјелесне</w:t>
      </w:r>
      <w:r w:rsid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директно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зависе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спољашње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Одговарајућа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ваздуха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основни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предуслов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и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нсеката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јединке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високе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температуре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велике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влажности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њихов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порасте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неколико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пута</w:t>
      </w:r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CB3A8F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B27C61" w:rsidRPr="00CB3A8F" w:rsidRDefault="0052663E" w:rsidP="009968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повећања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случајева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обољевања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свијету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обољења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европским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земаљама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постале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Европи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настајању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емергинг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учесталост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порасла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посљедње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деценије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тенденцију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блиској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будућности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Фактори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допринијели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оваквој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епидемиолошкој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ситуацији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осим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климатских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ширење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узрочника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географска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интензиван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међународни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саобр</w:t>
      </w:r>
      <w:r w:rsidR="000F502A">
        <w:rPr>
          <w:rFonts w:ascii="Times New Roman" w:hAnsi="Times New Roman" w:cs="Times New Roman"/>
          <w:w w:val="105"/>
          <w:sz w:val="24"/>
          <w:szCs w:val="24"/>
          <w:lang w:val="sr-Cyrl-CS"/>
        </w:rPr>
        <w:t>а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ћај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чешће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излагање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дивљим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инсектима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промјене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узрочницима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резистенција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антимикробне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лијекове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пораст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вируленције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B27C61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52663E" w:rsidP="00B27C61">
      <w:pPr>
        <w:spacing w:before="18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202</w:t>
      </w:r>
      <w:r w:rsidR="00CC23F2">
        <w:rPr>
          <w:rFonts w:ascii="Times New Roman" w:hAnsi="Times New Roman" w:cs="Times New Roman"/>
          <w:w w:val="105"/>
          <w:sz w:val="24"/>
          <w:szCs w:val="24"/>
        </w:rPr>
        <w:t>4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>.</w:t>
      </w:r>
      <w:proofErr w:type="gramEnd"/>
      <w:r w:rsidR="00272D1C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годину</w:t>
      </w:r>
      <w:proofErr w:type="gramEnd"/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представљати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пријетњу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B27C61" w:rsidP="00CB3A8F">
      <w:pPr>
        <w:spacing w:before="13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проводити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плански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организовано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дугорочно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мјера</w:t>
      </w:r>
      <w:r w:rsidR="00B27C61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изнесених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чињеница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-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пооштрити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519A8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адзор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контролу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1203"/>
        </w:tabs>
        <w:spacing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</w:tabs>
        <w:spacing w:before="24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припремним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радњама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вршење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упознати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надлежне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установе</w:t>
      </w:r>
      <w:r w:rsidR="00B27C6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тако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обавијештени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9A234B" w:rsidRPr="009A234B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развој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претходно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5"/>
          <w:w w:val="105"/>
          <w:sz w:val="24"/>
          <w:szCs w:val="24"/>
        </w:rPr>
        <w:t>бити</w:t>
      </w:r>
      <w:r w:rsidR="00311358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позиционирана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мапирана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података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привременим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7"/>
          <w:w w:val="105"/>
          <w:sz w:val="24"/>
          <w:szCs w:val="24"/>
        </w:rPr>
        <w:t>и</w:t>
      </w:r>
      <w:r w:rsidR="00311358">
        <w:rPr>
          <w:rFonts w:ascii="Times New Roman" w:hAnsi="Times New Roman" w:cs="Times New Roman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поте</w:t>
      </w:r>
      <w:r w:rsidR="009719D5">
        <w:rPr>
          <w:rFonts w:ascii="Times New Roman" w:hAnsi="Times New Roman" w:cs="Times New Roman"/>
          <w:w w:val="105"/>
          <w:sz w:val="24"/>
          <w:szCs w:val="24"/>
          <w:lang w:val="sr-Cyrl-CS"/>
        </w:rPr>
        <w:t>н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цијалним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интегралном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концепту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чему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заснивати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превасходно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форми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неопходан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оптимум</w:t>
      </w:r>
      <w:r w:rsidR="00B27C61" w:rsidRPr="00CB3A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Дезинесекцију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еколошки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најприхватљивијим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Правовремено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обавијестити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активностима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везаним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сузбијање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27C61" w:rsidRPr="00CB3A8F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Овакав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w w:val="105"/>
          <w:sz w:val="24"/>
          <w:szCs w:val="24"/>
        </w:rPr>
        <w:t>тежиштем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очување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1624ED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супервизиј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pacing w:val="-1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(</w:t>
      </w:r>
      <w:r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основу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одабрати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дозу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концентрацију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инсектицида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употријебити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тим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)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н</w:t>
      </w:r>
      <w:r>
        <w:rPr>
          <w:rFonts w:ascii="Times New Roman" w:hAnsi="Times New Roman" w:cs="Times New Roman"/>
          <w:w w:val="105"/>
          <w:sz w:val="24"/>
          <w:szCs w:val="24"/>
        </w:rPr>
        <w:t>акон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третмана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оцјену</w:t>
      </w:r>
      <w:r w:rsidR="00FA59C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ларвицида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FA59C4" w:rsidRPr="00FA59C4" w:rsidRDefault="00311358" w:rsidP="00B27C61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првој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сузбијања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одраслих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супервизију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мониторинга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процјену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локацијма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:rsidR="00FA59C4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адултицидног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ab/>
      </w:r>
      <w:r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>третмана</w:t>
      </w:r>
      <w:r w:rsidR="00311358" w:rsidRPr="00FA59C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обезбиједити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употријебљеног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адултицида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</w:p>
    <w:p w:rsidR="00B27C61" w:rsidRPr="00FA59C4" w:rsidRDefault="001624ED" w:rsidP="00FA59C4">
      <w:pPr>
        <w:pStyle w:val="ListParagraph"/>
        <w:numPr>
          <w:ilvl w:val="1"/>
          <w:numId w:val="7"/>
        </w:numPr>
        <w:tabs>
          <w:tab w:val="left" w:pos="1580"/>
          <w:tab w:val="left" w:pos="3036"/>
          <w:tab w:val="left" w:pos="3244"/>
          <w:tab w:val="left" w:pos="4610"/>
          <w:tab w:val="left" w:pos="4939"/>
        </w:tabs>
        <w:spacing w:before="7" w:line="264" w:lineRule="auto"/>
        <w:rPr>
          <w:rFonts w:ascii="Times New Roman" w:hAnsi="Times New Roman" w:cs="Times New Roman"/>
          <w:sz w:val="24"/>
          <w:szCs w:val="24"/>
        </w:rPr>
      </w:pPr>
      <w:r w:rsidRPr="00FA59C4">
        <w:rPr>
          <w:rFonts w:ascii="Times New Roman" w:hAnsi="Times New Roman" w:cs="Times New Roman"/>
          <w:w w:val="105"/>
          <w:sz w:val="24"/>
          <w:szCs w:val="24"/>
        </w:rPr>
        <w:t>Након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обављене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дезинсекције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доставити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Институту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извјештај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извршеној</w:t>
      </w:r>
      <w:r w:rsidR="00311358" w:rsidRPr="00FA59C4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9C4">
        <w:rPr>
          <w:rFonts w:ascii="Times New Roman" w:hAnsi="Times New Roman" w:cs="Times New Roman"/>
          <w:w w:val="105"/>
          <w:sz w:val="24"/>
          <w:szCs w:val="24"/>
        </w:rPr>
        <w:t>дезинсекцији</w:t>
      </w:r>
      <w:r w:rsidR="00B27C61" w:rsidRP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CB3A8F" w:rsidRDefault="001624ED" w:rsidP="00B27C61">
      <w:pPr>
        <w:pStyle w:val="ListParagraph"/>
        <w:numPr>
          <w:ilvl w:val="0"/>
          <w:numId w:val="6"/>
        </w:numPr>
        <w:tabs>
          <w:tab w:val="left" w:pos="3592"/>
        </w:tabs>
        <w:spacing w:before="14" w:line="264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Препоруке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грађанство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обзиром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најефикаснији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векторских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спријечити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31135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инсекта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сљедеће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44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великим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шуме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мочвареи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,);</w:t>
      </w:r>
    </w:p>
    <w:p w:rsidR="00FA59C4" w:rsidRPr="00FA59C4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Смањити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гдје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игра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што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исушивањем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извора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стајаће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воде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FA59C4">
        <w:rPr>
          <w:rFonts w:ascii="Times New Roman" w:hAnsi="Times New Roman" w:cs="Times New Roman"/>
          <w:spacing w:val="-12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уредним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одржавањем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травнатих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смањује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положе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Најмање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једном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недјељно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испразнити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саксија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цвијеће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посуда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кућне</w:t>
      </w:r>
      <w:r w:rsidR="00311358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љубимце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канти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буради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лименки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line="264" w:lineRule="auto"/>
        <w:ind w:left="1260"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Уклонити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одбачене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гуме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прикупљају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</w:tabs>
        <w:spacing w:before="10" w:line="264" w:lineRule="auto"/>
        <w:ind w:left="1260" w:right="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топлијим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мјесецима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боравити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климатизованим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таквим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значајно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смањен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9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репелената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откривеиим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дијеловима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тијела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Носити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покрива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ноге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руке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>
        <w:rPr>
          <w:rFonts w:ascii="Times New Roman" w:hAnsi="Times New Roman" w:cs="Times New Roman"/>
          <w:w w:val="105"/>
          <w:sz w:val="24"/>
          <w:szCs w:val="24"/>
        </w:rPr>
        <w:t>Препоручује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буде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комотна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јер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кроз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припијену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одјећу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Избјегавати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боравак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периода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најинтензивније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активносги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сумрак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заштитне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против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комараца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прозорима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кревета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апарата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уништавају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комарце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затвореиом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B27C61" w:rsidRPr="0052663E" w:rsidRDefault="001624ED" w:rsidP="0052663E">
      <w:pPr>
        <w:pStyle w:val="ListParagraph"/>
        <w:numPr>
          <w:ilvl w:val="0"/>
          <w:numId w:val="10"/>
        </w:numPr>
        <w:tabs>
          <w:tab w:val="left" w:pos="1260"/>
          <w:tab w:val="left" w:pos="1616"/>
        </w:tabs>
        <w:spacing w:line="247" w:lineRule="auto"/>
        <w:ind w:left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инстранство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поготово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ако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тропском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субтропском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наведених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превенције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подразумијевају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узимање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лијекова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хемиопрофилаксу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одласка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боравка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маларичних</w:t>
      </w:r>
      <w:r w:rsidR="004B6051" w:rsidRP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B27C61" w:rsidRPr="0052663E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B6051" w:rsidRPr="00CB3A8F" w:rsidRDefault="004B6051" w:rsidP="004B6051">
      <w:pPr>
        <w:pStyle w:val="ListParagraph"/>
        <w:tabs>
          <w:tab w:val="left" w:pos="1260"/>
          <w:tab w:val="left" w:pos="1616"/>
        </w:tabs>
        <w:spacing w:line="247" w:lineRule="auto"/>
        <w:ind w:left="126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B3A8F" w:rsidRDefault="0052663E" w:rsidP="00B27C61">
      <w:pPr>
        <w:spacing w:line="249" w:lineRule="auto"/>
        <w:jc w:val="both"/>
        <w:rPr>
          <w:rFonts w:ascii="Times New Roman" w:hAnsi="Times New Roman" w:cs="Times New Roman"/>
          <w:color w:val="FF0000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Уколико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појаве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какви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симптоми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повратку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одмах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љекару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навести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податак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путовању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евентуалном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убоду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комарца</w:t>
      </w:r>
      <w:r w:rsidR="00B27C61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крпеља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инсекта</w:t>
      </w:r>
    </w:p>
    <w:p w:rsidR="006A308B" w:rsidRPr="00CB3A8F" w:rsidRDefault="006A308B" w:rsidP="006A308B">
      <w:pPr>
        <w:spacing w:before="18"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1E56A3" w:rsidRPr="00CB3A8F" w:rsidRDefault="001E56A3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1E56A3">
      <w:pPr>
        <w:spacing w:before="3"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Планом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систематске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подручје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за</w:t>
      </w:r>
      <w:r w:rsidR="001E56A3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202</w:t>
      </w:r>
      <w:r w:rsidR="00CC23F2">
        <w:rPr>
          <w:rFonts w:ascii="Times New Roman" w:hAnsi="Times New Roman" w:cs="Times New Roman"/>
          <w:w w:val="105"/>
          <w:sz w:val="24"/>
          <w:szCs w:val="24"/>
        </w:rPr>
        <w:t>4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8A47A8">
        <w:rPr>
          <w:rFonts w:ascii="Times New Roman" w:hAnsi="Times New Roman" w:cs="Times New Roman"/>
          <w:w w:val="105"/>
          <w:sz w:val="24"/>
          <w:szCs w:val="24"/>
        </w:rPr>
        <w:t>г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одину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дефинише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74"/>
        </w:tabs>
        <w:spacing w:line="247" w:lineRule="auto"/>
        <w:ind w:right="3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Обим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дефинисаност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систематска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превентивна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1181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Вријеме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97" w:line="247" w:lineRule="auto"/>
        <w:ind w:right="6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њихове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примјене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  <w:tab w:val="left" w:pos="2085"/>
          <w:tab w:val="left" w:pos="4004"/>
        </w:tabs>
        <w:spacing w:before="8" w:line="247" w:lineRule="auto"/>
        <w:ind w:right="6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Начине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обавјештавања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1E56A3">
      <w:pPr>
        <w:pStyle w:val="ListParagraph"/>
        <w:numPr>
          <w:ilvl w:val="0"/>
          <w:numId w:val="8"/>
        </w:numPr>
        <w:tabs>
          <w:tab w:val="left" w:pos="953"/>
        </w:tabs>
        <w:spacing w:before="8" w:line="247" w:lineRule="auto"/>
        <w:ind w:right="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врсте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надзора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5266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).</w:t>
      </w:r>
    </w:p>
    <w:p w:rsidR="001E56A3" w:rsidRPr="00CB3A8F" w:rsidRDefault="001E56A3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1E56A3">
      <w:pPr>
        <w:spacing w:line="237" w:lineRule="auto"/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376CA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Обим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посла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односно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дефинисаност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подручја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коме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ће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спровести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превентивна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систематска</w:t>
      </w:r>
      <w:r w:rsidR="004B60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дератизација</w:t>
      </w:r>
    </w:p>
    <w:p w:rsidR="00471840" w:rsidRPr="00FA59C4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водотоци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паркови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гробља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приведене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урбанистичкој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намјени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мостови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паркиралишта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тржнице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пијаце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нужници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FA59C4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996893">
      <w:pPr>
        <w:spacing w:before="9"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канализациона</w:t>
      </w:r>
      <w:proofErr w:type="gramEnd"/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мрежа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одвођење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оборинских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уређаји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пречишћавање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септичке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помијаре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шахтови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енергетски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канали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топло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водних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плинских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електричних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телефонских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инсталација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spacing w:line="247" w:lineRule="auto"/>
        <w:ind w:left="633" w:right="6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главна</w:t>
      </w:r>
      <w:proofErr w:type="gramEnd"/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санитарна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депоније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материја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аутобуске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станице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хангари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саобраћајних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јавни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превоз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996893">
      <w:pPr>
        <w:tabs>
          <w:tab w:val="left" w:pos="10800"/>
        </w:tabs>
        <w:spacing w:line="249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ђ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сви</w:t>
      </w:r>
      <w:proofErr w:type="gramEnd"/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прераду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предмета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r w:rsidR="004B605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употребе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9" w:lineRule="auto"/>
        <w:ind w:left="633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ж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помоћни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стамебно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укључујући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>
        <w:rPr>
          <w:rFonts w:ascii="Times New Roman" w:hAnsi="Times New Roman" w:cs="Times New Roman"/>
          <w:w w:val="105"/>
          <w:sz w:val="24"/>
          <w:szCs w:val="24"/>
        </w:rPr>
        <w:t>подруме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магазинске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tabs>
          <w:tab w:val="left" w:pos="2776"/>
          <w:tab w:val="left" w:pos="3700"/>
        </w:tabs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просторије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остављање</w:t>
      </w:r>
      <w:r w:rsidR="00A03F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пољопривредних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оруђа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.),</w:t>
      </w:r>
    </w:p>
    <w:p w:rsidR="000B1D04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неуређене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дјелимично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уређене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зелене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околини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стамбених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зграда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996893">
      <w:pPr>
        <w:spacing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подруми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тавани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дрварници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магазииски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дворишта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сметљарници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гараже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отворена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затворена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ђубришта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пословних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помоћних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постојимогућност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посебно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припадајуће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површине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</w:tabs>
        <w:spacing w:line="244" w:lineRule="auto"/>
        <w:ind w:right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0"/>
          <w:tab w:val="left" w:pos="1541"/>
          <w:tab w:val="left" w:pos="3499"/>
          <w:tab w:val="left" w:pos="4937"/>
        </w:tabs>
        <w:spacing w:line="247" w:lineRule="auto"/>
        <w:ind w:right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хотелско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туристичких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угоститељских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спортских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spacing w:val="-18"/>
          <w:w w:val="105"/>
          <w:sz w:val="24"/>
          <w:szCs w:val="24"/>
        </w:rPr>
        <w:t>и</w:t>
      </w:r>
      <w:r w:rsidR="00A03F17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рекреационих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предшколских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школских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вјерских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институција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домова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пензионера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сличних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2" w:lineRule="auto"/>
        <w:ind w:righ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здравствених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>објеката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пружање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медицинских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хигијенских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услуга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становништву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педикерски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козметички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фризерски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бријачки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салони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центри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масажу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соларијуми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киропрактичие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ординације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),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органа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предузећа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привредних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друштава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организација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облицима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својине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обављају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обртничку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дјелатност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услужних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трговачких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занатских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угоститељских </w:t>
      </w:r>
      <w:r>
        <w:rPr>
          <w:rFonts w:ascii="Times New Roman" w:hAnsi="Times New Roman" w:cs="Times New Roman"/>
          <w:w w:val="105"/>
          <w:sz w:val="24"/>
          <w:szCs w:val="24"/>
        </w:rPr>
        <w:t>радњи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нарочито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баве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производњом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складиштењем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прометом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намирница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</w:tabs>
        <w:spacing w:line="25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физчких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1624ED" w:rsidP="00471840">
      <w:pPr>
        <w:pStyle w:val="ListParagraph"/>
        <w:numPr>
          <w:ilvl w:val="0"/>
          <w:numId w:val="3"/>
        </w:numPr>
        <w:tabs>
          <w:tab w:val="left" w:pos="1541"/>
          <w:tab w:val="left" w:pos="3127"/>
          <w:tab w:val="left" w:pos="4941"/>
        </w:tabs>
        <w:spacing w:line="247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свих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осталих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/</w:t>
      </w:r>
      <w:r>
        <w:rPr>
          <w:rFonts w:ascii="Times New Roman" w:hAnsi="Times New Roman" w:cs="Times New Roman"/>
          <w:w w:val="105"/>
          <w:sz w:val="24"/>
          <w:szCs w:val="24"/>
        </w:rPr>
        <w:t>објеката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могућност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>задржавања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9"/>
          <w:w w:val="105"/>
          <w:sz w:val="24"/>
          <w:szCs w:val="24"/>
        </w:rPr>
        <w:t>и</w:t>
      </w:r>
      <w:r w:rsidR="007B377A">
        <w:rPr>
          <w:rFonts w:ascii="Times New Roman" w:hAnsi="Times New Roman" w:cs="Times New Roman"/>
          <w:spacing w:val="-1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размножавања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9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52663E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Надлежно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одјељење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оквиру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захтјева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покретање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процедуре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набавке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избор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прецизно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дефинисати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јавиих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т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превентивне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сноси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јединица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самоуправе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376CA6" w:rsidRDefault="001624ED" w:rsidP="00376CA6">
      <w:pPr>
        <w:ind w:left="360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ИИИ</w:t>
      </w:r>
      <w:r w:rsid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Вријеме</w:t>
      </w:r>
      <w:r w:rsidR="00A03F17" w:rsidRPr="00376CA6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извођења</w:t>
      </w:r>
    </w:p>
    <w:p w:rsidR="000B1D04" w:rsidRPr="00CB3A8F" w:rsidRDefault="000B1D04" w:rsidP="000B1D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1840" w:rsidRPr="00CB3A8F" w:rsidRDefault="0052663E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обавезно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свакој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оперативиој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напријед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наведени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52663E" w:rsidP="00C6487A">
      <w:pPr>
        <w:spacing w:before="97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континуирано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ударне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прољетном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јесењем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периоду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највећа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популација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биолошког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циклуса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миграционих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својстава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постижу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најбољи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ефекти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уништаавња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истих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насељеним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мјестима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425"/>
          <w:tab w:val="left" w:pos="3877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Временских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термина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w w:val="105"/>
          <w:sz w:val="24"/>
          <w:szCs w:val="24"/>
        </w:rPr>
        <w:t>извођења</w:t>
      </w:r>
      <w:r w:rsidR="00A03F17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требају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придржавати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C6487A">
      <w:pPr>
        <w:spacing w:before="5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Прва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прољетна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01 .04.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до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31.05.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календарке</w:t>
      </w:r>
      <w:proofErr w:type="gramEnd"/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C6487A">
      <w:pPr>
        <w:spacing w:before="3" w:line="247" w:lineRule="auto"/>
        <w:ind w:left="63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јесења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изводити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A03F1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интервалу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01.10.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до</w:t>
      </w:r>
      <w:proofErr w:type="gramEnd"/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30.11.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C6487A">
      <w:pPr>
        <w:tabs>
          <w:tab w:val="left" w:pos="2144"/>
          <w:tab w:val="left" w:pos="3690"/>
        </w:tabs>
        <w:spacing w:line="247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трећа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уоченој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инфе</w:t>
      </w:r>
      <w:r>
        <w:rPr>
          <w:rFonts w:ascii="Times New Roman" w:hAnsi="Times New Roman" w:cs="Times New Roman"/>
          <w:w w:val="105"/>
          <w:sz w:val="24"/>
          <w:szCs w:val="24"/>
        </w:rPr>
        <w:t>тацији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Итервентна</w:t>
      </w:r>
      <w:r w:rsidR="00BF7F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спровести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уочи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повећан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случајевима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када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појави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несигурна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погоршана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епидемиолошка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ситуација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заразних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болести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преносе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глодари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w w:val="105"/>
          <w:sz w:val="24"/>
          <w:szCs w:val="24"/>
        </w:rPr>
        <w:t>Интервентна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временски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календарске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између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двије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прве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односно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прољетне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оперативне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фазе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подручју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наредној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Континуитет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постиже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обрадом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мјеста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служе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стална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легла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станишта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глодара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успостављањем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тзв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сталних</w:t>
      </w:r>
      <w:proofErr w:type="gramEnd"/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хранилишта</w:t>
      </w:r>
      <w:r w:rsidR="007B377A">
        <w:rPr>
          <w:rFonts w:ascii="Times New Roman" w:hAnsi="Times New Roman" w:cs="Times New Roman"/>
          <w:w w:val="105"/>
          <w:sz w:val="24"/>
          <w:szCs w:val="24"/>
          <w:vertAlign w:val="superscript"/>
        </w:rPr>
        <w:t>“</w:t>
      </w:r>
      <w:r w:rsidR="00BF7F09">
        <w:rPr>
          <w:rFonts w:ascii="Times New Roman" w:hAnsi="Times New Roman" w:cs="Times New Roman"/>
          <w:w w:val="105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одржавају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током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цијеле</w:t>
      </w:r>
      <w:r w:rsidR="00BF7F0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године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ind w:right="65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ИВ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средстава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препарата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њихове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количине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начини</w:t>
      </w:r>
      <w:r w:rsidR="00BF7F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примјене</w:t>
      </w:r>
    </w:p>
    <w:p w:rsidR="00471840" w:rsidRPr="00CB3A8F" w:rsidRDefault="00471840" w:rsidP="00471840">
      <w:pPr>
        <w:pStyle w:val="BodyText"/>
        <w:spacing w:before="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before="1"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хемијским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токсиколошку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оцјену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имају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утврђеној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регулишу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област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писмени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доказ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биоцидима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AC04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“,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>: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37/09)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припадајући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подзаконски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Примјена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активних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састојака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мамцима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одговарати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proofErr w:type="gramStart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Рјешењем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утрђивању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листе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могу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стављати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промет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Републици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Српској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овлаштена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установа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Препоруку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средстава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извођача</w:t>
      </w:r>
      <w:r w:rsidR="00067E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</w:p>
    <w:p w:rsidR="00471840" w:rsidRPr="00CB3A8F" w:rsidRDefault="00471840" w:rsidP="00471840">
      <w:pPr>
        <w:pStyle w:val="BodyText"/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0B1D04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мора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имати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одобрење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Министарства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социјалне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укључује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одређених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отрова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законским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затим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Правилником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условима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поступку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кадар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простор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опрему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висини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утврђивање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овлашћеног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(„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Службени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гласник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Републике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Српске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",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број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: 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118/18).</w:t>
      </w:r>
    </w:p>
    <w:p w:rsidR="00471840" w:rsidRPr="00CB3A8F" w:rsidRDefault="00471840" w:rsidP="00471840">
      <w:pPr>
        <w:pStyle w:val="BodyText"/>
        <w:spacing w:before="7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spacing w:before="1"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приликом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предузима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потребне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здравља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изводе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као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зазаштиту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корисних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инсеката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животне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w w:val="105"/>
          <w:sz w:val="24"/>
          <w:szCs w:val="24"/>
        </w:rPr>
        <w:t>ВИ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Начин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обавјештавња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физичких</w:t>
      </w:r>
      <w:r w:rsidR="00067EC1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spacing w:line="247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дужан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обавијести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почетку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начину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067EC1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дајући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евентуалних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штетних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посљедица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садрже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471840" w:rsidRPr="00CB3A8F" w:rsidRDefault="001624ED" w:rsidP="00471840">
      <w:pPr>
        <w:spacing w:before="7" w:line="247" w:lineRule="auto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предострожности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сигурности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471840">
      <w:pPr>
        <w:spacing w:before="2" w:line="247" w:lineRule="auto"/>
        <w:ind w:left="863" w:right="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посебне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грађана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имовине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0B1D04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опште</w:t>
      </w:r>
      <w:proofErr w:type="gramEnd"/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заштиту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61D36">
        <w:rPr>
          <w:rFonts w:ascii="Times New Roman" w:hAnsi="Times New Roman" w:cs="Times New Roman"/>
          <w:w w:val="105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;</w:t>
      </w:r>
    </w:p>
    <w:p w:rsidR="00471840" w:rsidRPr="00CB3A8F" w:rsidRDefault="001624ED" w:rsidP="000B1D04">
      <w:pPr>
        <w:spacing w:before="1"/>
        <w:ind w:left="8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г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односе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припремање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>
        <w:rPr>
          <w:rFonts w:ascii="Times New Roman" w:hAnsi="Times New Roman" w:cs="Times New Roman"/>
          <w:w w:val="105"/>
          <w:sz w:val="24"/>
          <w:szCs w:val="24"/>
        </w:rPr>
        <w:t>уклањање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смећа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других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отпадака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обезбјеђење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приступачности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простору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давање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идр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.).</w:t>
      </w:r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упутства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пригодан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начин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оглашавањем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средствима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информисања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току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10"/>
        <w:jc w:val="both"/>
        <w:rPr>
          <w:rFonts w:ascii="Times New Roman" w:hAnsi="Times New Roman" w:cs="Times New Roman"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7A" w:rsidRDefault="007B377A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0B1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Обавезе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правних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физичких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лица</w:t>
      </w:r>
    </w:p>
    <w:p w:rsidR="00471840" w:rsidRPr="00CB3A8F" w:rsidRDefault="00471840" w:rsidP="00471840">
      <w:pPr>
        <w:pStyle w:val="BodyText"/>
        <w:spacing w:before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1624ED" w:rsidP="00C6487A">
      <w:pPr>
        <w:tabs>
          <w:tab w:val="left" w:pos="1629"/>
          <w:tab w:val="left" w:pos="1885"/>
          <w:tab w:val="left" w:pos="2687"/>
          <w:tab w:val="left" w:pos="3030"/>
          <w:tab w:val="left" w:pos="3131"/>
          <w:tab w:val="left" w:pos="3796"/>
          <w:tab w:val="left" w:pos="4710"/>
        </w:tabs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Сва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правна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физичка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лица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чијим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објектима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радницима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омогуће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приступ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потребна</w:t>
      </w:r>
      <w:r w:rsidR="007B377A">
        <w:rPr>
          <w:rFonts w:ascii="Times New Roman" w:hAnsi="Times New Roman" w:cs="Times New Roman"/>
          <w:w w:val="105"/>
          <w:sz w:val="24"/>
          <w:szCs w:val="24"/>
        </w:rPr>
        <w:t xml:space="preserve"> о</w:t>
      </w:r>
      <w:r>
        <w:rPr>
          <w:rFonts w:ascii="Times New Roman" w:hAnsi="Times New Roman" w:cs="Times New Roman"/>
          <w:w w:val="105"/>
          <w:sz w:val="24"/>
          <w:szCs w:val="24"/>
        </w:rPr>
        <w:t>бавјештења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Такође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>
        <w:rPr>
          <w:rFonts w:ascii="Times New Roman" w:hAnsi="Times New Roman" w:cs="Times New Roman"/>
          <w:w w:val="105"/>
          <w:sz w:val="24"/>
          <w:szCs w:val="24"/>
        </w:rPr>
        <w:t>дужни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спроводити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одређене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мјере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извршавати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које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налажу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циљу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осигурања</w:t>
      </w:r>
      <w:r w:rsidR="00204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успјешног</w:t>
      </w:r>
      <w:r w:rsidR="00C6487A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извођења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5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заштите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људи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домаћих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животиња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471840" w:rsidRPr="00CB3A8F" w:rsidRDefault="00471840" w:rsidP="00471840">
      <w:pPr>
        <w:pStyle w:val="BodyText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before="1"/>
        <w:ind w:right="922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ВИИИ</w:t>
      </w:r>
      <w:r w:rsidR="00376C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7B37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над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спровођењем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врсте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иадзора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043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извршиоци</w:t>
      </w:r>
      <w:r w:rsidR="00471840" w:rsidRPr="00CB3A8F">
        <w:rPr>
          <w:rFonts w:ascii="Times New Roman" w:hAnsi="Times New Roman" w:cs="Times New Roman"/>
          <w:b/>
          <w:sz w:val="24"/>
          <w:szCs w:val="24"/>
        </w:rPr>
        <w:t>)</w:t>
      </w:r>
    </w:p>
    <w:p w:rsidR="00471840" w:rsidRPr="00CB3A8F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840" w:rsidRPr="00CB3A8F" w:rsidRDefault="00C6487A" w:rsidP="00C6487A">
      <w:pPr>
        <w:spacing w:line="24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Стручни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површина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јавних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добара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управни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спровођењем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организацијом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инспекција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B1D04" w:rsidRPr="00CB3A8F" w:rsidRDefault="000B1D04" w:rsidP="000B1D04">
      <w:pPr>
        <w:spacing w:line="247" w:lineRule="auto"/>
        <w:ind w:right="653"/>
        <w:jc w:val="both"/>
        <w:rPr>
          <w:rFonts w:ascii="Times New Roman" w:hAnsi="Times New Roman" w:cs="Times New Roman"/>
          <w:w w:val="105"/>
          <w:sz w:val="24"/>
          <w:szCs w:val="24"/>
          <w:lang w:val="sr-Cyrl-BA"/>
        </w:rPr>
      </w:pPr>
    </w:p>
    <w:p w:rsidR="00471840" w:rsidRDefault="00C6487A" w:rsidP="00C6487A">
      <w:pPr>
        <w:spacing w:line="247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свом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може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забранити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lastRenderedPageBreak/>
        <w:t>обуставити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због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сљедећих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разлога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:</w:t>
      </w:r>
    </w:p>
    <w:p w:rsidR="00C6487A" w:rsidRPr="00C6487A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C6487A">
      <w:pPr>
        <w:spacing w:line="24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користи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препарате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чија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ефикасност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није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провјерена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употреба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дозвољена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,</w:t>
      </w:r>
    </w:p>
    <w:p w:rsidR="00471840" w:rsidRPr="00CB3A8F" w:rsidRDefault="00C6487A" w:rsidP="00CB3A8F">
      <w:pPr>
        <w:spacing w:line="249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б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нису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испуњени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Плану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Наредби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471840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када</w:t>
      </w:r>
      <w:proofErr w:type="gramEnd"/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утврди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радници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који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немају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прописане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услове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вршење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C6487A" w:rsidRPr="00C6487A" w:rsidRDefault="00C6487A" w:rsidP="00C6487A">
      <w:pPr>
        <w:spacing w:before="6" w:line="247" w:lineRule="auto"/>
        <w:ind w:right="651"/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C6487A" w:rsidP="000B1D04">
      <w:pPr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свим</w:t>
      </w:r>
      <w:r w:rsidR="00204357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налазима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инсепкције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обавјештава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Комисија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надзор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(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формира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локална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заједница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)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Институт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.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случају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неквалитетног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непотпуног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извршења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здравствена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инспкеција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ће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  <w:lang w:val="sr-Cyrl-BA"/>
        </w:rPr>
        <w:t>К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омисији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се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поступак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понови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о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трошку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или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предложити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раскид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уговора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штету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извођача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1624ED">
        <w:rPr>
          <w:rFonts w:ascii="Times New Roman" w:hAnsi="Times New Roman" w:cs="Times New Roman"/>
          <w:w w:val="105"/>
          <w:sz w:val="24"/>
          <w:szCs w:val="24"/>
        </w:rPr>
        <w:t>дератизације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0B1D04" w:rsidRPr="00CB3A8F" w:rsidRDefault="000B1D04" w:rsidP="000B1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Default="001624ED" w:rsidP="00471840">
      <w:pPr>
        <w:jc w:val="both"/>
        <w:rPr>
          <w:rFonts w:ascii="Times New Roman" w:hAnsi="Times New Roman" w:cs="Times New Roman"/>
          <w:b/>
          <w:w w:val="105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>X.</w:t>
      </w:r>
      <w:proofErr w:type="gramEnd"/>
      <w:r w:rsidR="00C648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 w:rsidR="007B377A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Ступање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b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</w:rPr>
        <w:t>снагу</w:t>
      </w:r>
    </w:p>
    <w:p w:rsidR="00C6487A" w:rsidRPr="00C6487A" w:rsidRDefault="00C6487A" w:rsidP="004718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1840" w:rsidRPr="00CB3A8F" w:rsidRDefault="001624ED" w:rsidP="000B1D04">
      <w:pPr>
        <w:spacing w:line="249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w w:val="105"/>
          <w:sz w:val="24"/>
          <w:szCs w:val="24"/>
        </w:rPr>
        <w:t>Овај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ступа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снагу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осмог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од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дана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објављивања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 xml:space="preserve"> „</w:t>
      </w:r>
      <w:r>
        <w:rPr>
          <w:rFonts w:ascii="Times New Roman" w:hAnsi="Times New Roman" w:cs="Times New Roman"/>
          <w:w w:val="105"/>
          <w:sz w:val="24"/>
          <w:szCs w:val="24"/>
        </w:rPr>
        <w:t>Службеном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гласнику</w:t>
      </w:r>
      <w:r w:rsidR="00376CA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Града</w:t>
      </w:r>
      <w:r w:rsidR="000B1D04" w:rsidRPr="00CB3A8F">
        <w:rPr>
          <w:rFonts w:ascii="Times New Roman" w:hAnsi="Times New Roman" w:cs="Times New Roman"/>
          <w:w w:val="105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  <w:lang w:val="sr-Cyrl-BA"/>
        </w:rPr>
        <w:t>Бијељина</w:t>
      </w:r>
      <w:r w:rsidR="00471840" w:rsidRPr="00CB3A8F">
        <w:rPr>
          <w:rFonts w:ascii="Times New Roman" w:hAnsi="Times New Roman" w:cs="Times New Roman"/>
          <w:w w:val="105"/>
          <w:sz w:val="24"/>
          <w:szCs w:val="24"/>
        </w:rPr>
        <w:t>“.</w:t>
      </w:r>
      <w:proofErr w:type="gramEnd"/>
    </w:p>
    <w:p w:rsidR="00471840" w:rsidRPr="005065EA" w:rsidRDefault="00471840" w:rsidP="00471840">
      <w:pPr>
        <w:pStyle w:val="BodyText"/>
        <w:spacing w:before="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96893" w:rsidRPr="00AE3C1B" w:rsidRDefault="00996893" w:rsidP="00996893">
      <w:pPr>
        <w:spacing w:before="1" w:line="28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6893" w:rsidRPr="00A906A4" w:rsidRDefault="001624ED" w:rsidP="00996893">
      <w:pPr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ГРАДА</w:t>
      </w:r>
      <w:r w:rsidR="00996893" w:rsidRPr="00A906A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</w:p>
    <w:p w:rsidR="00996893" w:rsidRDefault="00996893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B37A1C" w:rsidRDefault="00B37A1C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p w:rsidR="00B37A1C" w:rsidRDefault="00B37A1C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right" w:tblpY="91"/>
        <w:tblW w:w="0" w:type="auto"/>
        <w:tblLook w:val="04A0"/>
      </w:tblPr>
      <w:tblGrid>
        <w:gridCol w:w="4989"/>
        <w:gridCol w:w="1658"/>
        <w:gridCol w:w="3950"/>
      </w:tblGrid>
      <w:tr w:rsidR="000D4AC8" w:rsidTr="005065EA">
        <w:tc>
          <w:tcPr>
            <w:tcW w:w="4989" w:type="dxa"/>
            <w:hideMark/>
          </w:tcPr>
          <w:p w:rsidR="000D4AC8" w:rsidRDefault="000D4AC8" w:rsidP="00B37A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Број: 01-022-</w:t>
            </w:r>
            <w:r w:rsidR="00B37A1C">
              <w:rPr>
                <w:rFonts w:ascii="Times New Roman" w:hAnsi="Times New Roman"/>
                <w:sz w:val="24"/>
                <w:szCs w:val="24"/>
                <w:lang w:val="sr-Latn-CS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sr-Latn-CS"/>
              </w:rPr>
              <w:t>4</w:t>
            </w:r>
          </w:p>
        </w:tc>
        <w:tc>
          <w:tcPr>
            <w:tcW w:w="1658" w:type="dxa"/>
          </w:tcPr>
          <w:p w:rsidR="000D4AC8" w:rsidRDefault="000D4AC8" w:rsidP="005065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0D4AC8" w:rsidRDefault="000D4AC8" w:rsidP="005065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0D4AC8" w:rsidTr="005065EA">
        <w:tc>
          <w:tcPr>
            <w:tcW w:w="4989" w:type="dxa"/>
            <w:hideMark/>
          </w:tcPr>
          <w:p w:rsidR="000D4AC8" w:rsidRDefault="000D4AC8" w:rsidP="005065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658" w:type="dxa"/>
          </w:tcPr>
          <w:p w:rsidR="000D4AC8" w:rsidRDefault="000D4AC8" w:rsidP="005065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0D4AC8" w:rsidRDefault="000D4AC8" w:rsidP="005065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0D4AC8" w:rsidTr="005065EA">
        <w:tc>
          <w:tcPr>
            <w:tcW w:w="4989" w:type="dxa"/>
            <w:hideMark/>
          </w:tcPr>
          <w:p w:rsidR="000D4AC8" w:rsidRDefault="005065EA" w:rsidP="005065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Датум: 5. јун</w:t>
            </w:r>
            <w:r w:rsidR="000D4AC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202</w:t>
            </w:r>
            <w:r w:rsidR="000D4AC8">
              <w:rPr>
                <w:rFonts w:ascii="Times New Roman" w:hAnsi="Times New Roman"/>
                <w:sz w:val="24"/>
                <w:szCs w:val="24"/>
                <w:lang w:val="sr-Latn-CS"/>
              </w:rPr>
              <w:t>4</w:t>
            </w:r>
            <w:r w:rsidR="000D4AC8">
              <w:rPr>
                <w:rFonts w:ascii="Times New Roman" w:hAnsi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1658" w:type="dxa"/>
          </w:tcPr>
          <w:p w:rsidR="000D4AC8" w:rsidRDefault="000D4AC8" w:rsidP="005065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</w:tcPr>
          <w:p w:rsidR="000D4AC8" w:rsidRDefault="000D4AC8" w:rsidP="005065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0D4AC8" w:rsidTr="005065EA">
        <w:tc>
          <w:tcPr>
            <w:tcW w:w="4989" w:type="dxa"/>
          </w:tcPr>
          <w:p w:rsidR="000D4AC8" w:rsidRDefault="000D4AC8" w:rsidP="005065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0D4AC8" w:rsidRDefault="000D4AC8" w:rsidP="005065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0D4AC8" w:rsidRPr="00B37A1C" w:rsidRDefault="000D4AC8" w:rsidP="005065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Александар Ђурђевић</w:t>
            </w:r>
            <w:r w:rsidR="00B37A1C">
              <w:rPr>
                <w:rFonts w:ascii="Times New Roman" w:hAnsi="Times New Roman"/>
                <w:sz w:val="24"/>
                <w:szCs w:val="24"/>
                <w:lang w:val="sr-Latn-CS"/>
              </w:rPr>
              <w:t>, с.р.</w:t>
            </w:r>
          </w:p>
        </w:tc>
      </w:tr>
      <w:tr w:rsidR="000D4AC8" w:rsidTr="005065EA">
        <w:tc>
          <w:tcPr>
            <w:tcW w:w="4989" w:type="dxa"/>
          </w:tcPr>
          <w:p w:rsidR="000D4AC8" w:rsidRDefault="000D4AC8" w:rsidP="005065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0D4AC8" w:rsidRDefault="000D4AC8" w:rsidP="005065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hideMark/>
          </w:tcPr>
          <w:p w:rsidR="000D4AC8" w:rsidRDefault="000D4AC8" w:rsidP="005065EA">
            <w:pPr>
              <w:spacing w:line="276" w:lineRule="auto"/>
              <w:rPr>
                <w:rFonts w:asciiTheme="minorHAnsi" w:eastAsiaTheme="minorEastAsia" w:hAnsiTheme="minorHAnsi" w:cs="Times New Roman"/>
                <w:lang w:val="sr-Latn-CS" w:eastAsia="sr-Latn-CS"/>
              </w:rPr>
            </w:pPr>
          </w:p>
        </w:tc>
      </w:tr>
    </w:tbl>
    <w:p w:rsidR="00AC0442" w:rsidRPr="005065EA" w:rsidRDefault="00AC0442" w:rsidP="00996893">
      <w:pPr>
        <w:spacing w:before="7" w:line="247" w:lineRule="auto"/>
        <w:ind w:right="807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pPr w:leftFromText="180" w:rightFromText="180" w:vertAnchor="text" w:horzAnchor="margin" w:tblpXSpec="center" w:tblpY="113"/>
        <w:tblW w:w="0" w:type="auto"/>
        <w:tblLook w:val="04A0"/>
      </w:tblPr>
      <w:tblGrid>
        <w:gridCol w:w="3985"/>
        <w:gridCol w:w="1814"/>
        <w:gridCol w:w="4259"/>
      </w:tblGrid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  <w:hideMark/>
          </w:tcPr>
          <w:p w:rsidR="00996893" w:rsidRPr="0059792E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893" w:rsidRPr="00A906A4" w:rsidTr="00F771B4">
        <w:trPr>
          <w:trHeight w:val="315"/>
        </w:trPr>
        <w:tc>
          <w:tcPr>
            <w:tcW w:w="3985" w:type="dxa"/>
            <w:hideMark/>
          </w:tcPr>
          <w:p w:rsidR="00996893" w:rsidRPr="00A906A4" w:rsidRDefault="00996893" w:rsidP="0015673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96893" w:rsidRPr="00A906A4" w:rsidTr="00F771B4">
        <w:trPr>
          <w:trHeight w:val="630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6893" w:rsidRPr="00A906A4" w:rsidTr="00F771B4">
        <w:trPr>
          <w:trHeight w:val="525"/>
        </w:trPr>
        <w:tc>
          <w:tcPr>
            <w:tcW w:w="3985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996893" w:rsidRPr="00A906A4" w:rsidRDefault="00996893" w:rsidP="00F771B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hideMark/>
          </w:tcPr>
          <w:p w:rsidR="00996893" w:rsidRPr="00A906A4" w:rsidRDefault="00996893" w:rsidP="00F771B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624ED" w:rsidRPr="00A906A4" w:rsidRDefault="001624ED" w:rsidP="00996893">
      <w:pPr>
        <w:tabs>
          <w:tab w:val="left" w:pos="5715"/>
        </w:tabs>
        <w:rPr>
          <w:rFonts w:ascii="Times New Roman" w:eastAsia="Calibri" w:hAnsi="Times New Roman" w:cs="Times New Roman"/>
          <w:sz w:val="24"/>
          <w:szCs w:val="24"/>
        </w:rPr>
      </w:pPr>
    </w:p>
    <w:sectPr w:rsidR="001624ED" w:rsidRPr="00A906A4" w:rsidSect="00CB3A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391" w:rsidRDefault="00133391">
      <w:r>
        <w:separator/>
      </w:r>
    </w:p>
  </w:endnote>
  <w:endnote w:type="continuationSeparator" w:id="0">
    <w:p w:rsidR="00133391" w:rsidRDefault="001333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391" w:rsidRDefault="00133391">
      <w:r>
        <w:separator/>
      </w:r>
    </w:p>
  </w:footnote>
  <w:footnote w:type="continuationSeparator" w:id="0">
    <w:p w:rsidR="00133391" w:rsidRDefault="001333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E0E"/>
    <w:multiLevelType w:val="hybridMultilevel"/>
    <w:tmpl w:val="60BA344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D09A9"/>
    <w:multiLevelType w:val="hybridMultilevel"/>
    <w:tmpl w:val="969A0FE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862EF"/>
    <w:multiLevelType w:val="hybridMultilevel"/>
    <w:tmpl w:val="87A4127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460AB"/>
    <w:multiLevelType w:val="hybridMultilevel"/>
    <w:tmpl w:val="BA502EB8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DE48251A">
      <w:numFmt w:val="bullet"/>
      <w:lvlText w:val=""/>
      <w:lvlJc w:val="left"/>
      <w:pPr>
        <w:ind w:left="14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8049F"/>
    <w:multiLevelType w:val="hybridMultilevel"/>
    <w:tmpl w:val="0F4E7186"/>
    <w:lvl w:ilvl="0" w:tplc="40E01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5550065"/>
    <w:multiLevelType w:val="hybridMultilevel"/>
    <w:tmpl w:val="855EDD6E"/>
    <w:lvl w:ilvl="0" w:tplc="40E01E44">
      <w:numFmt w:val="bullet"/>
      <w:lvlText w:val="-"/>
      <w:lvlJc w:val="left"/>
      <w:pPr>
        <w:ind w:left="1540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</w:rPr>
    </w:lvl>
    <w:lvl w:ilvl="1" w:tplc="71B48D60">
      <w:numFmt w:val="bullet"/>
      <w:lvlText w:val="•"/>
      <w:lvlJc w:val="left"/>
      <w:pPr>
        <w:ind w:left="1891" w:hanging="339"/>
      </w:pPr>
      <w:rPr>
        <w:rFonts w:hint="default"/>
      </w:rPr>
    </w:lvl>
    <w:lvl w:ilvl="2" w:tplc="484E329C">
      <w:numFmt w:val="bullet"/>
      <w:lvlText w:val="•"/>
      <w:lvlJc w:val="left"/>
      <w:pPr>
        <w:ind w:left="2243" w:hanging="339"/>
      </w:pPr>
      <w:rPr>
        <w:rFonts w:hint="default"/>
      </w:rPr>
    </w:lvl>
    <w:lvl w:ilvl="3" w:tplc="D3E0D41A">
      <w:numFmt w:val="bullet"/>
      <w:lvlText w:val="•"/>
      <w:lvlJc w:val="left"/>
      <w:pPr>
        <w:ind w:left="2595" w:hanging="339"/>
      </w:pPr>
      <w:rPr>
        <w:rFonts w:hint="default"/>
      </w:rPr>
    </w:lvl>
    <w:lvl w:ilvl="4" w:tplc="8A6CBDEA">
      <w:numFmt w:val="bullet"/>
      <w:lvlText w:val="•"/>
      <w:lvlJc w:val="left"/>
      <w:pPr>
        <w:ind w:left="2947" w:hanging="339"/>
      </w:pPr>
      <w:rPr>
        <w:rFonts w:hint="default"/>
      </w:rPr>
    </w:lvl>
    <w:lvl w:ilvl="5" w:tplc="6E3C747C">
      <w:numFmt w:val="bullet"/>
      <w:lvlText w:val="•"/>
      <w:lvlJc w:val="left"/>
      <w:pPr>
        <w:ind w:left="3299" w:hanging="339"/>
      </w:pPr>
      <w:rPr>
        <w:rFonts w:hint="default"/>
      </w:rPr>
    </w:lvl>
    <w:lvl w:ilvl="6" w:tplc="42E479BE">
      <w:numFmt w:val="bullet"/>
      <w:lvlText w:val="•"/>
      <w:lvlJc w:val="left"/>
      <w:pPr>
        <w:ind w:left="3650" w:hanging="339"/>
      </w:pPr>
      <w:rPr>
        <w:rFonts w:hint="default"/>
      </w:rPr>
    </w:lvl>
    <w:lvl w:ilvl="7" w:tplc="0BC26A90">
      <w:numFmt w:val="bullet"/>
      <w:lvlText w:val="•"/>
      <w:lvlJc w:val="left"/>
      <w:pPr>
        <w:ind w:left="4002" w:hanging="339"/>
      </w:pPr>
      <w:rPr>
        <w:rFonts w:hint="default"/>
      </w:rPr>
    </w:lvl>
    <w:lvl w:ilvl="8" w:tplc="7C3448E2">
      <w:numFmt w:val="bullet"/>
      <w:lvlText w:val="•"/>
      <w:lvlJc w:val="left"/>
      <w:pPr>
        <w:ind w:left="4354" w:hanging="339"/>
      </w:pPr>
      <w:rPr>
        <w:rFonts w:hint="default"/>
      </w:rPr>
    </w:lvl>
  </w:abstractNum>
  <w:abstractNum w:abstractNumId="6">
    <w:nsid w:val="4D2C52F7"/>
    <w:multiLevelType w:val="hybridMultilevel"/>
    <w:tmpl w:val="30E66672"/>
    <w:lvl w:ilvl="0" w:tplc="A87E7ED6">
      <w:start w:val="1"/>
      <w:numFmt w:val="decimal"/>
      <w:lvlText w:val="%1."/>
      <w:lvlJc w:val="left"/>
      <w:pPr>
        <w:ind w:left="1183" w:hanging="310"/>
        <w:jc w:val="right"/>
      </w:pPr>
      <w:rPr>
        <w:rFonts w:ascii="Arial" w:eastAsia="Arial" w:hAnsi="Arial" w:cs="Arial" w:hint="default"/>
        <w:spacing w:val="-1"/>
        <w:w w:val="103"/>
        <w:sz w:val="20"/>
        <w:szCs w:val="20"/>
      </w:rPr>
    </w:lvl>
    <w:lvl w:ilvl="1" w:tplc="355A1A3C">
      <w:numFmt w:val="bullet"/>
      <w:lvlText w:val="•"/>
      <w:lvlJc w:val="left"/>
      <w:pPr>
        <w:ind w:left="1567" w:hanging="310"/>
      </w:pPr>
      <w:rPr>
        <w:rFonts w:hint="default"/>
      </w:rPr>
    </w:lvl>
    <w:lvl w:ilvl="2" w:tplc="BA36404C">
      <w:numFmt w:val="bullet"/>
      <w:lvlText w:val="•"/>
      <w:lvlJc w:val="left"/>
      <w:pPr>
        <w:ind w:left="1955" w:hanging="310"/>
      </w:pPr>
      <w:rPr>
        <w:rFonts w:hint="default"/>
      </w:rPr>
    </w:lvl>
    <w:lvl w:ilvl="3" w:tplc="FE549B8C">
      <w:numFmt w:val="bullet"/>
      <w:lvlText w:val="•"/>
      <w:lvlJc w:val="left"/>
      <w:pPr>
        <w:ind w:left="2343" w:hanging="310"/>
      </w:pPr>
      <w:rPr>
        <w:rFonts w:hint="default"/>
      </w:rPr>
    </w:lvl>
    <w:lvl w:ilvl="4" w:tplc="D9844C28">
      <w:numFmt w:val="bullet"/>
      <w:lvlText w:val="•"/>
      <w:lvlJc w:val="left"/>
      <w:pPr>
        <w:ind w:left="2731" w:hanging="310"/>
      </w:pPr>
      <w:rPr>
        <w:rFonts w:hint="default"/>
      </w:rPr>
    </w:lvl>
    <w:lvl w:ilvl="5" w:tplc="0E563E74">
      <w:numFmt w:val="bullet"/>
      <w:lvlText w:val="•"/>
      <w:lvlJc w:val="left"/>
      <w:pPr>
        <w:ind w:left="3118" w:hanging="310"/>
      </w:pPr>
      <w:rPr>
        <w:rFonts w:hint="default"/>
      </w:rPr>
    </w:lvl>
    <w:lvl w:ilvl="6" w:tplc="605C39B4">
      <w:numFmt w:val="bullet"/>
      <w:lvlText w:val="•"/>
      <w:lvlJc w:val="left"/>
      <w:pPr>
        <w:ind w:left="3506" w:hanging="310"/>
      </w:pPr>
      <w:rPr>
        <w:rFonts w:hint="default"/>
      </w:rPr>
    </w:lvl>
    <w:lvl w:ilvl="7" w:tplc="1CF0AA26">
      <w:numFmt w:val="bullet"/>
      <w:lvlText w:val="•"/>
      <w:lvlJc w:val="left"/>
      <w:pPr>
        <w:ind w:left="3894" w:hanging="310"/>
      </w:pPr>
      <w:rPr>
        <w:rFonts w:hint="default"/>
      </w:rPr>
    </w:lvl>
    <w:lvl w:ilvl="8" w:tplc="1B44669C">
      <w:numFmt w:val="bullet"/>
      <w:lvlText w:val="•"/>
      <w:lvlJc w:val="left"/>
      <w:pPr>
        <w:ind w:left="4282" w:hanging="310"/>
      </w:pPr>
      <w:rPr>
        <w:rFonts w:hint="default"/>
      </w:rPr>
    </w:lvl>
  </w:abstractNum>
  <w:abstractNum w:abstractNumId="7">
    <w:nsid w:val="67C360DD"/>
    <w:multiLevelType w:val="hybridMultilevel"/>
    <w:tmpl w:val="9564C93E"/>
    <w:lvl w:ilvl="0" w:tplc="DE48251A">
      <w:numFmt w:val="bullet"/>
      <w:lvlText w:val=""/>
      <w:lvlJc w:val="left"/>
      <w:pPr>
        <w:ind w:left="81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B89188B"/>
    <w:multiLevelType w:val="hybridMultilevel"/>
    <w:tmpl w:val="C672B2FE"/>
    <w:lvl w:ilvl="0" w:tplc="2F00756E">
      <w:start w:val="1"/>
      <w:numFmt w:val="decimal"/>
      <w:lvlText w:val="%1."/>
      <w:lvlJc w:val="left"/>
      <w:pPr>
        <w:ind w:left="1257" w:hanging="339"/>
        <w:jc w:val="right"/>
      </w:pPr>
      <w:rPr>
        <w:rFonts w:ascii="Times New Roman" w:eastAsia="Arial" w:hAnsi="Times New Roman" w:cs="Times New Roman"/>
        <w:spacing w:val="-1"/>
        <w:w w:val="103"/>
        <w:sz w:val="20"/>
        <w:szCs w:val="20"/>
      </w:rPr>
    </w:lvl>
    <w:lvl w:ilvl="1" w:tplc="2672448A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2" w:tplc="B04A9478">
      <w:numFmt w:val="bullet"/>
      <w:lvlText w:val="-"/>
      <w:lvlJc w:val="left"/>
      <w:pPr>
        <w:ind w:left="1579" w:hanging="322"/>
      </w:pPr>
      <w:rPr>
        <w:rFonts w:ascii="Times New Roman" w:eastAsia="Times New Roman" w:hAnsi="Times New Roman" w:cs="Times New Roman" w:hint="default"/>
        <w:w w:val="103"/>
        <w:sz w:val="20"/>
        <w:szCs w:val="20"/>
      </w:rPr>
    </w:lvl>
    <w:lvl w:ilvl="3" w:tplc="6D002422">
      <w:numFmt w:val="bullet"/>
      <w:lvlText w:val="•"/>
      <w:lvlJc w:val="left"/>
      <w:pPr>
        <w:ind w:left="2020" w:hanging="322"/>
      </w:pPr>
      <w:rPr>
        <w:rFonts w:hint="default"/>
      </w:rPr>
    </w:lvl>
    <w:lvl w:ilvl="4" w:tplc="B120871C">
      <w:numFmt w:val="bullet"/>
      <w:lvlText w:val="•"/>
      <w:lvlJc w:val="left"/>
      <w:pPr>
        <w:ind w:left="1725" w:hanging="322"/>
      </w:pPr>
      <w:rPr>
        <w:rFonts w:hint="default"/>
      </w:rPr>
    </w:lvl>
    <w:lvl w:ilvl="5" w:tplc="D8A8371C">
      <w:numFmt w:val="bullet"/>
      <w:lvlText w:val="•"/>
      <w:lvlJc w:val="left"/>
      <w:pPr>
        <w:ind w:left="1431" w:hanging="322"/>
      </w:pPr>
      <w:rPr>
        <w:rFonts w:hint="default"/>
      </w:rPr>
    </w:lvl>
    <w:lvl w:ilvl="6" w:tplc="A0D6C4B6">
      <w:numFmt w:val="bullet"/>
      <w:lvlText w:val="•"/>
      <w:lvlJc w:val="left"/>
      <w:pPr>
        <w:ind w:left="1137" w:hanging="322"/>
      </w:pPr>
      <w:rPr>
        <w:rFonts w:hint="default"/>
      </w:rPr>
    </w:lvl>
    <w:lvl w:ilvl="7" w:tplc="3126D5FA">
      <w:numFmt w:val="bullet"/>
      <w:lvlText w:val="•"/>
      <w:lvlJc w:val="left"/>
      <w:pPr>
        <w:ind w:left="842" w:hanging="322"/>
      </w:pPr>
      <w:rPr>
        <w:rFonts w:hint="default"/>
      </w:rPr>
    </w:lvl>
    <w:lvl w:ilvl="8" w:tplc="82627E0C">
      <w:numFmt w:val="bullet"/>
      <w:lvlText w:val="•"/>
      <w:lvlJc w:val="left"/>
      <w:pPr>
        <w:ind w:left="548" w:hanging="322"/>
      </w:pPr>
      <w:rPr>
        <w:rFonts w:hint="default"/>
      </w:rPr>
    </w:lvl>
  </w:abstractNum>
  <w:abstractNum w:abstractNumId="9">
    <w:nsid w:val="7E1133F3"/>
    <w:multiLevelType w:val="hybridMultilevel"/>
    <w:tmpl w:val="CF267156"/>
    <w:lvl w:ilvl="0" w:tplc="14F20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5474"/>
  </w:hdrShapeDefaults>
  <w:footnotePr>
    <w:footnote w:id="-1"/>
    <w:footnote w:id="0"/>
  </w:footnotePr>
  <w:endnotePr>
    <w:endnote w:id="-1"/>
    <w:endnote w:id="0"/>
  </w:endnotePr>
  <w:compat/>
  <w:rsids>
    <w:rsidRoot w:val="00471840"/>
    <w:rsid w:val="00020682"/>
    <w:rsid w:val="00035AAD"/>
    <w:rsid w:val="00067EC1"/>
    <w:rsid w:val="000768AA"/>
    <w:rsid w:val="000776D2"/>
    <w:rsid w:val="000827F6"/>
    <w:rsid w:val="000B1D04"/>
    <w:rsid w:val="000B251D"/>
    <w:rsid w:val="000D4AC8"/>
    <w:rsid w:val="000F502A"/>
    <w:rsid w:val="00130C79"/>
    <w:rsid w:val="00133391"/>
    <w:rsid w:val="0015673B"/>
    <w:rsid w:val="001624ED"/>
    <w:rsid w:val="00195636"/>
    <w:rsid w:val="001C775F"/>
    <w:rsid w:val="001E56A3"/>
    <w:rsid w:val="001F1157"/>
    <w:rsid w:val="00204357"/>
    <w:rsid w:val="00261D36"/>
    <w:rsid w:val="00272136"/>
    <w:rsid w:val="00272D1C"/>
    <w:rsid w:val="00285692"/>
    <w:rsid w:val="002C1D8B"/>
    <w:rsid w:val="002C478E"/>
    <w:rsid w:val="002D6936"/>
    <w:rsid w:val="002E32A9"/>
    <w:rsid w:val="002F6834"/>
    <w:rsid w:val="002F6CE3"/>
    <w:rsid w:val="00311358"/>
    <w:rsid w:val="00355210"/>
    <w:rsid w:val="0036496E"/>
    <w:rsid w:val="00376CA6"/>
    <w:rsid w:val="003919F8"/>
    <w:rsid w:val="003D3179"/>
    <w:rsid w:val="003D45CF"/>
    <w:rsid w:val="004001D3"/>
    <w:rsid w:val="004637A0"/>
    <w:rsid w:val="00471840"/>
    <w:rsid w:val="00471A46"/>
    <w:rsid w:val="00477EEF"/>
    <w:rsid w:val="004B6051"/>
    <w:rsid w:val="004C4429"/>
    <w:rsid w:val="005065EA"/>
    <w:rsid w:val="005201E6"/>
    <w:rsid w:val="0052663E"/>
    <w:rsid w:val="005413E4"/>
    <w:rsid w:val="00563B21"/>
    <w:rsid w:val="0059792E"/>
    <w:rsid w:val="005A5EAC"/>
    <w:rsid w:val="005B44A3"/>
    <w:rsid w:val="005C455D"/>
    <w:rsid w:val="005E0A9D"/>
    <w:rsid w:val="005E3299"/>
    <w:rsid w:val="00646388"/>
    <w:rsid w:val="00656C31"/>
    <w:rsid w:val="0068353D"/>
    <w:rsid w:val="006A308B"/>
    <w:rsid w:val="006A7F42"/>
    <w:rsid w:val="006F401D"/>
    <w:rsid w:val="00704E23"/>
    <w:rsid w:val="007176DD"/>
    <w:rsid w:val="007333EA"/>
    <w:rsid w:val="0074128A"/>
    <w:rsid w:val="00745D78"/>
    <w:rsid w:val="00754BAF"/>
    <w:rsid w:val="00797748"/>
    <w:rsid w:val="007A1882"/>
    <w:rsid w:val="007A3B0A"/>
    <w:rsid w:val="007A56D0"/>
    <w:rsid w:val="007B377A"/>
    <w:rsid w:val="00816916"/>
    <w:rsid w:val="00852909"/>
    <w:rsid w:val="00854346"/>
    <w:rsid w:val="008A47A8"/>
    <w:rsid w:val="008F33DA"/>
    <w:rsid w:val="0090219B"/>
    <w:rsid w:val="00910734"/>
    <w:rsid w:val="0091259D"/>
    <w:rsid w:val="00915813"/>
    <w:rsid w:val="00942520"/>
    <w:rsid w:val="009719D5"/>
    <w:rsid w:val="00993E2E"/>
    <w:rsid w:val="00996893"/>
    <w:rsid w:val="009A234B"/>
    <w:rsid w:val="009A51F4"/>
    <w:rsid w:val="009B2FF4"/>
    <w:rsid w:val="009C0D95"/>
    <w:rsid w:val="00A03F17"/>
    <w:rsid w:val="00A07D2E"/>
    <w:rsid w:val="00A3606B"/>
    <w:rsid w:val="00AA67E5"/>
    <w:rsid w:val="00AC0442"/>
    <w:rsid w:val="00AD459B"/>
    <w:rsid w:val="00AF1817"/>
    <w:rsid w:val="00B16FED"/>
    <w:rsid w:val="00B27C61"/>
    <w:rsid w:val="00B346C3"/>
    <w:rsid w:val="00B37A1C"/>
    <w:rsid w:val="00BF7F09"/>
    <w:rsid w:val="00C36355"/>
    <w:rsid w:val="00C519A8"/>
    <w:rsid w:val="00C52825"/>
    <w:rsid w:val="00C61308"/>
    <w:rsid w:val="00C6487A"/>
    <w:rsid w:val="00C67687"/>
    <w:rsid w:val="00C719BC"/>
    <w:rsid w:val="00C94589"/>
    <w:rsid w:val="00CB3A8F"/>
    <w:rsid w:val="00CC23F2"/>
    <w:rsid w:val="00CC30F7"/>
    <w:rsid w:val="00CE5A23"/>
    <w:rsid w:val="00CE6121"/>
    <w:rsid w:val="00D02D0A"/>
    <w:rsid w:val="00D07810"/>
    <w:rsid w:val="00D16FE2"/>
    <w:rsid w:val="00D73201"/>
    <w:rsid w:val="00DC4221"/>
    <w:rsid w:val="00DC7FD7"/>
    <w:rsid w:val="00E00CCA"/>
    <w:rsid w:val="00E13A69"/>
    <w:rsid w:val="00E21AC6"/>
    <w:rsid w:val="00E647B9"/>
    <w:rsid w:val="00EA64C0"/>
    <w:rsid w:val="00EF4EFF"/>
    <w:rsid w:val="00F111DB"/>
    <w:rsid w:val="00F15622"/>
    <w:rsid w:val="00F515AF"/>
    <w:rsid w:val="00F90022"/>
    <w:rsid w:val="00FA59C4"/>
    <w:rsid w:val="00FF7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718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3A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3A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1840"/>
  </w:style>
  <w:style w:type="character" w:customStyle="1" w:styleId="BodyTextChar">
    <w:name w:val="Body Text Char"/>
    <w:basedOn w:val="DefaultParagraphFont"/>
    <w:link w:val="BodyText"/>
    <w:uiPriority w:val="1"/>
    <w:rsid w:val="00471840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471840"/>
    <w:pPr>
      <w:ind w:left="470" w:hanging="360"/>
      <w:jc w:val="both"/>
    </w:pPr>
  </w:style>
  <w:style w:type="paragraph" w:styleId="Subtitle">
    <w:name w:val="Subtitle"/>
    <w:basedOn w:val="Normal"/>
    <w:next w:val="Normal"/>
    <w:link w:val="SubtitleChar"/>
    <w:uiPriority w:val="11"/>
    <w:qFormat/>
    <w:rsid w:val="00CB3A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3A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B3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B3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99"/>
    <w:qFormat/>
    <w:rsid w:val="00CB3A8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76C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C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76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CA6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CA6"/>
    <w:rPr>
      <w:rFonts w:ascii="Tahoma" w:eastAsia="Arial" w:hAnsi="Tahoma" w:cs="Tahoma"/>
      <w:sz w:val="16"/>
      <w:szCs w:val="16"/>
    </w:rPr>
  </w:style>
  <w:style w:type="paragraph" w:customStyle="1" w:styleId="TableContents">
    <w:name w:val="Table Contents"/>
    <w:basedOn w:val="Normal"/>
    <w:rsid w:val="001624ED"/>
    <w:pPr>
      <w:suppressLineNumbers/>
      <w:suppressAutoHyphens/>
      <w:autoSpaceDE/>
      <w:autoSpaceDN/>
    </w:pPr>
    <w:rPr>
      <w:rFonts w:ascii="Times New Roman" w:eastAsia="Lucida Sans Unicode" w:hAnsi="Times New Roman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A7E15F-A212-430F-82FC-8994E358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Приједлог</vt:lpstr>
    </vt:vector>
  </TitlesOfParts>
  <Company>Hewlett-Packard Company</Company>
  <LinksUpToDate>false</LinksUpToDate>
  <CharactersWithSpaces>15388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vstupar</dc:creator>
  <cp:lastModifiedBy>mira.ristic</cp:lastModifiedBy>
  <cp:revision>6</cp:revision>
  <cp:lastPrinted>2024-06-06T08:38:00Z</cp:lastPrinted>
  <dcterms:created xsi:type="dcterms:W3CDTF">2024-05-23T06:34:00Z</dcterms:created>
  <dcterms:modified xsi:type="dcterms:W3CDTF">2024-06-06T08:43:00Z</dcterms:modified>
</cp:coreProperties>
</file>