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DE4487" w:rsidRDefault="001624ED" w:rsidP="00DE4487">
      <w:pPr>
        <w:pStyle w:val="BodyText"/>
        <w:ind w:right="38" w:firstLine="6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DE44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E177F7">
        <w:rPr>
          <w:rFonts w:ascii="Times New Roman" w:hAnsi="Times New Roman" w:cs="Times New Roman"/>
          <w:sz w:val="24"/>
          <w:szCs w:val="24"/>
          <w:lang w:val="sr-Cyrl-CS"/>
        </w:rPr>
        <w:t>, 42/20 и 98/20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DE4487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CC30F7">
        <w:rPr>
          <w:rFonts w:ascii="Times New Roman" w:hAnsi="Times New Roman" w:cs="Times New Roman"/>
          <w:sz w:val="24"/>
          <w:szCs w:val="24"/>
        </w:rPr>
        <w:t>37)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DE44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36/19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DE4487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>
        <w:rPr>
          <w:rFonts w:ascii="Times New Roman" w:hAnsi="Times New Roman" w:cs="Times New Roman"/>
          <w:sz w:val="24"/>
          <w:szCs w:val="24"/>
        </w:rPr>
        <w:t xml:space="preserve"> 2. </w:t>
      </w:r>
      <w:r w:rsidR="00DE4487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43</w:t>
      </w:r>
      <w:r w:rsidR="00CC30F7" w:rsidRPr="00CC30F7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DE44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 w:rsidR="00DE4487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DE4487">
        <w:rPr>
          <w:rFonts w:ascii="Times New Roman" w:hAnsi="Times New Roman" w:cs="Times New Roman"/>
          <w:sz w:val="24"/>
          <w:szCs w:val="24"/>
          <w:lang w:val="sr-Cyrl-BA"/>
        </w:rPr>
        <w:t xml:space="preserve"> 31. марта 2021. 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DE4487">
        <w:rPr>
          <w:rFonts w:ascii="Times New Roman" w:hAnsi="Times New Roman" w:cs="Times New Roman"/>
          <w:sz w:val="24"/>
          <w:szCs w:val="24"/>
          <w:lang w:val="sr-Cyrl-CS"/>
        </w:rPr>
        <w:t>донијела је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7D3D64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E448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DE448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E448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</w:t>
      </w:r>
    </w:p>
    <w:p w:rsidR="007D3D64" w:rsidRPr="007D3D64" w:rsidRDefault="007D3D64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D3D64" w:rsidRDefault="00DE4487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СИСТЕМАТСКЕ ПРЕВЕНТИВНЕ ДЕЗИНСЕКЦИЈЕ И ДЕРАТИЗАЦИЈЕ </w:t>
      </w:r>
    </w:p>
    <w:p w:rsidR="00DE4487" w:rsidRPr="00DE4487" w:rsidRDefault="00DE4487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 ПОДРУЧЈЕ ГРАДА БИЈЕЉИНА ЗА 2021. ГОДИНУ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D3D64" w:rsidRPr="007D3D64" w:rsidRDefault="007D3D64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  <w:lang w:val="sr-Cyrl-CS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векторскез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).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саобарћај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AC0442">
        <w:rPr>
          <w:rFonts w:ascii="Times New Roman" w:hAnsi="Times New Roman" w:cs="Times New Roman"/>
          <w:w w:val="105"/>
          <w:sz w:val="24"/>
          <w:szCs w:val="24"/>
          <w:lang w:val="sr-Cyrl-BA"/>
        </w:rPr>
        <w:t>1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7D3D64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7D3D64" w:rsidRDefault="007D3D64" w:rsidP="007D3D64">
      <w:p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</w:p>
    <w:p w:rsidR="007D3D64" w:rsidRDefault="007D3D64" w:rsidP="007D3D64">
      <w:pPr>
        <w:tabs>
          <w:tab w:val="left" w:pos="1203"/>
        </w:tabs>
        <w:spacing w:line="26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7D3D64" w:rsidRPr="007D3D64" w:rsidRDefault="007D3D64" w:rsidP="007D3D64">
      <w:pPr>
        <w:tabs>
          <w:tab w:val="left" w:pos="1203"/>
        </w:tabs>
        <w:spacing w:line="26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потеицијалним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31135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</w:p>
    <w:p w:rsidR="00B27C61" w:rsidRPr="00CB3A8F" w:rsidRDefault="00311358" w:rsidP="00B27C61">
      <w:pPr>
        <w:pStyle w:val="ListParagraph"/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ind w:left="14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Након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7D3D64" w:rsidRPr="00522F48" w:rsidRDefault="001624ED" w:rsidP="007D3D64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7D3D64" w:rsidRDefault="007D3D64" w:rsidP="007D3D64">
      <w:pPr>
        <w:tabs>
          <w:tab w:val="left" w:pos="1260"/>
          <w:tab w:val="left" w:pos="1616"/>
        </w:tabs>
        <w:spacing w:line="247" w:lineRule="auto"/>
        <w:ind w:right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</w:p>
    <w:p w:rsidR="007D3D64" w:rsidRPr="007D3D64" w:rsidRDefault="007D3D64" w:rsidP="007D3D64">
      <w:pPr>
        <w:tabs>
          <w:tab w:val="left" w:pos="1260"/>
          <w:tab w:val="left" w:pos="1616"/>
        </w:tabs>
        <w:spacing w:line="247" w:lineRule="auto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1E56A3" w:rsidRPr="007D3D64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AC0442">
        <w:rPr>
          <w:rFonts w:ascii="Times New Roman" w:hAnsi="Times New Roman" w:cs="Times New Roman"/>
          <w:w w:val="105"/>
          <w:sz w:val="24"/>
          <w:szCs w:val="24"/>
          <w:lang w:val="sr-Cyrl-BA"/>
        </w:rPr>
        <w:t>1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7D3D64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 </w:t>
      </w:r>
      <w:r w:rsidR="00376C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7D3D64" w:rsidRDefault="007D3D64" w:rsidP="007D3D64">
      <w:pPr>
        <w:spacing w:line="247" w:lineRule="auto"/>
        <w:ind w:left="633"/>
        <w:jc w:val="center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4.</w:t>
      </w:r>
    </w:p>
    <w:p w:rsidR="007D3D64" w:rsidRPr="00CB3A8F" w:rsidRDefault="007D3D64" w:rsidP="007D3D64">
      <w:pPr>
        <w:spacing w:line="247" w:lineRule="auto"/>
        <w:ind w:left="633"/>
        <w:jc w:val="center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7D3D64" w:rsidRPr="007D3D64" w:rsidRDefault="001624ED" w:rsidP="007D3D64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угоститељскохрадњи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7D3D64" w:rsidRDefault="001624ED" w:rsidP="007D3D6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7D3D64"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7D3D64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 w:rsidRPr="007D3D64"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7D3D64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инфеетацији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7D3D64" w:rsidRDefault="007D3D64" w:rsidP="007D3D64">
      <w:pPr>
        <w:tabs>
          <w:tab w:val="left" w:pos="2144"/>
          <w:tab w:val="left" w:pos="3690"/>
        </w:tabs>
        <w:spacing w:line="247" w:lineRule="auto"/>
        <w:ind w:firstLine="720"/>
        <w:jc w:val="center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5.</w:t>
      </w:r>
    </w:p>
    <w:p w:rsidR="007D3D64" w:rsidRDefault="007D3D64" w:rsidP="007D3D64">
      <w:pPr>
        <w:tabs>
          <w:tab w:val="left" w:pos="2144"/>
          <w:tab w:val="left" w:pos="3690"/>
        </w:tabs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1624ED" w:rsidP="007D3D64">
      <w:pPr>
        <w:tabs>
          <w:tab w:val="left" w:pos="2144"/>
          <w:tab w:val="left" w:pos="369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 „</w:t>
      </w:r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>
        <w:rPr>
          <w:rFonts w:ascii="Times New Roman" w:hAnsi="Times New Roman" w:cs="Times New Roman"/>
          <w:w w:val="105"/>
          <w:sz w:val="24"/>
          <w:szCs w:val="24"/>
          <w:vertAlign w:val="superscript"/>
        </w:rPr>
        <w:t>и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7D3D64" w:rsidRDefault="001624ED" w:rsidP="007D3D64">
      <w:pPr>
        <w:pStyle w:val="ListParagraph"/>
        <w:numPr>
          <w:ilvl w:val="0"/>
          <w:numId w:val="9"/>
        </w:numPr>
        <w:ind w:right="651"/>
        <w:rPr>
          <w:rFonts w:ascii="Times New Roman" w:hAnsi="Times New Roman" w:cs="Times New Roman"/>
          <w:b/>
          <w:sz w:val="24"/>
          <w:szCs w:val="24"/>
        </w:rPr>
      </w:pPr>
      <w:r w:rsidRPr="007D3D64"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 w:rsidRPr="007D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D64"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7D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D64"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7D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D64"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7D3D6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3D64"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 w:rsidRPr="007D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D64"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7D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D64"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7D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D64"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 w:rsidRPr="007D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D64"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D3D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7D3D64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VI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општемјерезазаштитудомаћихживотиња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7D3D64" w:rsidRDefault="007D3D6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7D3D64" w:rsidRDefault="007D3D6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7D3D64" w:rsidRDefault="007D3D64" w:rsidP="007D3D64">
      <w:pPr>
        <w:spacing w:line="247" w:lineRule="auto"/>
        <w:ind w:right="653"/>
        <w:jc w:val="center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6.</w:t>
      </w:r>
    </w:p>
    <w:p w:rsidR="007D3D64" w:rsidRPr="00CB3A8F" w:rsidRDefault="007D3D64" w:rsidP="007D3D64">
      <w:pPr>
        <w:spacing w:line="247" w:lineRule="auto"/>
        <w:ind w:right="653"/>
        <w:jc w:val="center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56D65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VII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56D65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356D65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I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X.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356D65">
      <w:pPr>
        <w:spacing w:line="249" w:lineRule="auto"/>
        <w:ind w:right="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56D65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w w:val="105"/>
          <w:sz w:val="24"/>
          <w:szCs w:val="24"/>
        </w:rPr>
        <w:t>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D64" w:rsidRDefault="007D3D64" w:rsidP="007D3D6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7D3D64" w:rsidRDefault="007D3D64" w:rsidP="007D3D6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D3D64" w:rsidRDefault="007D3D64" w:rsidP="007D3D64">
      <w:pPr>
        <w:jc w:val="both"/>
        <w:rPr>
          <w:rFonts w:ascii="Times New Roman" w:hAnsi="Times New Roman"/>
          <w:sz w:val="24"/>
          <w:szCs w:val="24"/>
        </w:rPr>
      </w:pPr>
    </w:p>
    <w:p w:rsidR="007D3D64" w:rsidRDefault="007D3D64" w:rsidP="007D3D6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510"/>
      </w:tblGrid>
      <w:tr w:rsidR="007D3D64" w:rsidTr="007D3D64">
        <w:tc>
          <w:tcPr>
            <w:tcW w:w="3794" w:type="dxa"/>
            <w:hideMark/>
          </w:tcPr>
          <w:p w:rsidR="007D3D64" w:rsidRDefault="002A27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01-022-26</w:t>
            </w:r>
            <w:r w:rsidR="007D3D64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7D3D64" w:rsidRDefault="007D3D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D3D64" w:rsidTr="007D3D64">
        <w:tc>
          <w:tcPr>
            <w:tcW w:w="3794" w:type="dxa"/>
            <w:hideMark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7D3D64" w:rsidRDefault="007D3D64" w:rsidP="007D3D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D3D64" w:rsidTr="007D3D64">
        <w:tc>
          <w:tcPr>
            <w:tcW w:w="3794" w:type="dxa"/>
            <w:hideMark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31. март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3D64" w:rsidTr="007D3D64">
        <w:tc>
          <w:tcPr>
            <w:tcW w:w="3794" w:type="dxa"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7D3D64" w:rsidRDefault="007D3D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B422F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D3D64" w:rsidTr="007D3D64">
        <w:tc>
          <w:tcPr>
            <w:tcW w:w="3794" w:type="dxa"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D3D64" w:rsidRDefault="007D3D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7D3D64" w:rsidRDefault="007D3D64">
            <w:pPr>
              <w:spacing w:line="276" w:lineRule="auto"/>
              <w:rPr>
                <w:rFonts w:asciiTheme="minorHAnsi" w:eastAsiaTheme="minorEastAsia" w:hAnsiTheme="minorHAnsi" w:cs="Times New Roman"/>
                <w:lang w:val="sr-Latn-CS" w:eastAsia="sr-Latn-CS"/>
              </w:rPr>
            </w:pPr>
          </w:p>
        </w:tc>
      </w:tr>
    </w:tbl>
    <w:p w:rsidR="007D3D64" w:rsidRDefault="007D3D64" w:rsidP="007D3D64">
      <w:pPr>
        <w:jc w:val="both"/>
        <w:rPr>
          <w:rFonts w:ascii="Times New Roman" w:eastAsia="Calibri" w:hAnsi="Times New Roman"/>
          <w:sz w:val="24"/>
          <w:szCs w:val="24"/>
        </w:rPr>
      </w:pPr>
    </w:p>
    <w:p w:rsidR="007D3D64" w:rsidRDefault="007D3D64" w:rsidP="007D3D64">
      <w:pPr>
        <w:jc w:val="both"/>
        <w:rPr>
          <w:rFonts w:ascii="Times New Roman" w:hAnsi="Times New Roman"/>
          <w:sz w:val="24"/>
          <w:szCs w:val="24"/>
        </w:rPr>
      </w:pPr>
    </w:p>
    <w:p w:rsidR="007D3D64" w:rsidRDefault="007D3D64" w:rsidP="007D3D64">
      <w:pPr>
        <w:jc w:val="both"/>
        <w:rPr>
          <w:rFonts w:ascii="Calibri" w:hAnsi="Calibri"/>
          <w:lang w:val="sr-Cyrl-CS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996893" w:rsidSect="007D3D64">
      <w:headerReference w:type="default" r:id="rId9"/>
      <w:pgSz w:w="12240" w:h="15840"/>
      <w:pgMar w:top="720" w:right="1041" w:bottom="72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405" w:rsidRDefault="00912405">
      <w:r>
        <w:separator/>
      </w:r>
    </w:p>
  </w:endnote>
  <w:endnote w:type="continuationSeparator" w:id="0">
    <w:p w:rsidR="00912405" w:rsidRDefault="00912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405" w:rsidRDefault="00912405">
      <w:r>
        <w:separator/>
      </w:r>
    </w:p>
  </w:footnote>
  <w:footnote w:type="continuationSeparator" w:id="0">
    <w:p w:rsidR="00912405" w:rsidRDefault="00912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A6" w:rsidRDefault="0037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471840"/>
    <w:rsid w:val="00020682"/>
    <w:rsid w:val="00067EC1"/>
    <w:rsid w:val="000776D2"/>
    <w:rsid w:val="000827F6"/>
    <w:rsid w:val="000B1D04"/>
    <w:rsid w:val="000B251D"/>
    <w:rsid w:val="001624ED"/>
    <w:rsid w:val="001C775F"/>
    <w:rsid w:val="001E56A3"/>
    <w:rsid w:val="00204357"/>
    <w:rsid w:val="00285692"/>
    <w:rsid w:val="00296937"/>
    <w:rsid w:val="002A2745"/>
    <w:rsid w:val="00311358"/>
    <w:rsid w:val="00355210"/>
    <w:rsid w:val="00356D65"/>
    <w:rsid w:val="0036496E"/>
    <w:rsid w:val="00376CA6"/>
    <w:rsid w:val="003A02B2"/>
    <w:rsid w:val="004001D3"/>
    <w:rsid w:val="00471840"/>
    <w:rsid w:val="004A5D16"/>
    <w:rsid w:val="004B6051"/>
    <w:rsid w:val="004C4429"/>
    <w:rsid w:val="00522F48"/>
    <w:rsid w:val="0052663E"/>
    <w:rsid w:val="00563B21"/>
    <w:rsid w:val="005A1A66"/>
    <w:rsid w:val="005A5EAC"/>
    <w:rsid w:val="005C455D"/>
    <w:rsid w:val="006A308B"/>
    <w:rsid w:val="007176DD"/>
    <w:rsid w:val="007333EA"/>
    <w:rsid w:val="0074128A"/>
    <w:rsid w:val="00754BAF"/>
    <w:rsid w:val="007D3D64"/>
    <w:rsid w:val="00852909"/>
    <w:rsid w:val="00910734"/>
    <w:rsid w:val="00912405"/>
    <w:rsid w:val="0091259D"/>
    <w:rsid w:val="00993E2E"/>
    <w:rsid w:val="00996893"/>
    <w:rsid w:val="009A51F4"/>
    <w:rsid w:val="009B2FF4"/>
    <w:rsid w:val="00A03F17"/>
    <w:rsid w:val="00A07D2E"/>
    <w:rsid w:val="00A3606B"/>
    <w:rsid w:val="00AA67E5"/>
    <w:rsid w:val="00AC0442"/>
    <w:rsid w:val="00B27C61"/>
    <w:rsid w:val="00B422F1"/>
    <w:rsid w:val="00BF7F09"/>
    <w:rsid w:val="00C52825"/>
    <w:rsid w:val="00C6487A"/>
    <w:rsid w:val="00CB3A8F"/>
    <w:rsid w:val="00CC30F7"/>
    <w:rsid w:val="00D02AC1"/>
    <w:rsid w:val="00D16FE2"/>
    <w:rsid w:val="00DC7FD7"/>
    <w:rsid w:val="00DE4487"/>
    <w:rsid w:val="00E00CCA"/>
    <w:rsid w:val="00E13A69"/>
    <w:rsid w:val="00E177F7"/>
    <w:rsid w:val="00E21AC6"/>
    <w:rsid w:val="00EA64C0"/>
    <w:rsid w:val="00F51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C73D36-E402-450E-A4BA-5A0A4D2E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2281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16</cp:revision>
  <cp:lastPrinted>2021-04-01T09:21:00Z</cp:lastPrinted>
  <dcterms:created xsi:type="dcterms:W3CDTF">2021-03-09T10:20:00Z</dcterms:created>
  <dcterms:modified xsi:type="dcterms:W3CDTF">2021-04-01T09:30:00Z</dcterms:modified>
</cp:coreProperties>
</file>