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2477A6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чланa 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 w:rsidR="002477A6">
        <w:rPr>
          <w:lang w:val="sr-Cyrl-CS"/>
        </w:rPr>
        <w:t>: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>
        <w:rPr>
          <w:lang w:val="sr-Cyrl-CS"/>
        </w:rPr>
        <w:t>,</w:t>
      </w:r>
      <w:r>
        <w:rPr>
          <w:color w:val="231F20"/>
          <w:lang w:val="sr-Cyrl-CS"/>
        </w:rPr>
        <w:t xml:space="preserve"> ч</w:t>
      </w:r>
      <w:r>
        <w:rPr>
          <w:color w:val="231F20"/>
        </w:rPr>
        <w:t>лана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 xml:space="preserve">2. тачка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самоуправи (</w:t>
      </w:r>
      <w:r>
        <w:rPr>
          <w:color w:val="231F20"/>
          <w:lang w:val="sr-Cyrl-BA"/>
        </w:rPr>
        <w:t>„Службени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2477A6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266CE4">
        <w:rPr>
          <w:color w:val="231F20"/>
          <w:lang w:val="sr-Cyrl-CS"/>
        </w:rPr>
        <w:t xml:space="preserve"> и 36/19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ч</w:t>
      </w:r>
      <w:r>
        <w:rPr>
          <w:color w:val="231F20"/>
        </w:rPr>
        <w:t>лана 3</w:t>
      </w:r>
      <w:r w:rsidR="009A3A5A">
        <w:rPr>
          <w:color w:val="231F20"/>
          <w:lang w:val="sr-Cyrl-CS"/>
        </w:rPr>
        <w:t>9. став (2) тачка 43)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2477A6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 w:rsidR="009A3A5A">
        <w:rPr>
          <w:lang w:val="sr-Cyrl-CS"/>
        </w:rPr>
        <w:t xml:space="preserve"> на својој 5. </w:t>
      </w:r>
      <w:r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9A3A5A">
        <w:rPr>
          <w:lang w:val="sr-Cyrl-CS"/>
        </w:rPr>
        <w:t xml:space="preserve">9. јуна </w:t>
      </w:r>
      <w:r>
        <w:rPr>
          <w:lang w:val="sr-Cyrl-CS"/>
        </w:rPr>
        <w:t>20</w:t>
      </w:r>
      <w:r>
        <w:t>21</w:t>
      </w:r>
      <w:r>
        <w:rPr>
          <w:lang w:val="sr-Cyrl-CS"/>
        </w:rPr>
        <w:t>. године, донијела је</w:t>
      </w:r>
    </w:p>
    <w:p w:rsidR="002477A6" w:rsidRDefault="002477A6" w:rsidP="002477A6">
      <w:pPr>
        <w:spacing w:before="240"/>
        <w:ind w:firstLine="708"/>
        <w:jc w:val="both"/>
        <w:rPr>
          <w:lang w:val="sr-Cyrl-CS"/>
        </w:rPr>
      </w:pPr>
    </w:p>
    <w:p w:rsidR="00533C0A" w:rsidRDefault="00533C0A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2477A6" w:rsidRDefault="00533C0A" w:rsidP="002477A6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</w:t>
      </w:r>
      <w:r w:rsidR="00205A32">
        <w:rPr>
          <w:b/>
          <w:lang w:val="sr-Cyrl-BA"/>
        </w:rPr>
        <w:t>ГАЛАЦ</w:t>
      </w:r>
      <w:r w:rsidRPr="00A703EB">
        <w:rPr>
          <w:b/>
          <w:lang w:val="sr-Cyrl-BA"/>
        </w:rPr>
        <w:t xml:space="preserve">“ </w:t>
      </w:r>
    </w:p>
    <w:p w:rsidR="00533C0A" w:rsidRPr="002477A6" w:rsidRDefault="00533C0A" w:rsidP="002477A6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У БИЈЕЉИНИ</w:t>
      </w:r>
    </w:p>
    <w:p w:rsidR="00533C0A" w:rsidRDefault="00533C0A" w:rsidP="00533C0A">
      <w:pPr>
        <w:jc w:val="center"/>
        <w:rPr>
          <w:lang w:val="sr-Cyrl-BA"/>
        </w:rPr>
      </w:pPr>
    </w:p>
    <w:p w:rsidR="002477A6" w:rsidRPr="003C65A3" w:rsidRDefault="002477A6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2477A6"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2860FA">
        <w:t>Галац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FB4128" w:rsidRPr="00F85F47" w:rsidRDefault="00205A32" w:rsidP="00FB4128">
      <w:pPr>
        <w:pStyle w:val="BodyText"/>
        <w:numPr>
          <w:ilvl w:val="0"/>
          <w:numId w:val="3"/>
        </w:numPr>
        <w:spacing w:line="254" w:lineRule="auto"/>
        <w:ind w:left="0" w:right="118" w:firstLine="360"/>
        <w:jc w:val="both"/>
        <w:rPr>
          <w:spacing w:val="57"/>
          <w:sz w:val="24"/>
          <w:szCs w:val="24"/>
        </w:rPr>
      </w:pPr>
      <w:r w:rsidRPr="00F85F47">
        <w:rPr>
          <w:sz w:val="24"/>
          <w:szCs w:val="24"/>
        </w:rPr>
        <w:t xml:space="preserve">На сјеверу граница обухвата иде десном страном </w:t>
      </w:r>
      <w:r w:rsidR="00C54079">
        <w:rPr>
          <w:sz w:val="24"/>
          <w:szCs w:val="24"/>
        </w:rPr>
        <w:t>У</w:t>
      </w:r>
      <w:r w:rsidRPr="00F85F47">
        <w:rPr>
          <w:sz w:val="24"/>
          <w:szCs w:val="24"/>
        </w:rPr>
        <w:t xml:space="preserve">лице </w:t>
      </w:r>
      <w:r w:rsidR="00C54079">
        <w:rPr>
          <w:sz w:val="24"/>
          <w:szCs w:val="24"/>
        </w:rPr>
        <w:t>к</w:t>
      </w:r>
      <w:r w:rsidRPr="00F85F47">
        <w:rPr>
          <w:sz w:val="24"/>
          <w:szCs w:val="24"/>
        </w:rPr>
        <w:t xml:space="preserve">нез Иво од Семберије од сјеверне катастарске међе 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3856 све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до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источне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границе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4077/1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којом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скреће у правцу</w:t>
      </w:r>
      <w:r w:rsidR="00C54079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југоистока,</w:t>
      </w:r>
      <w:r w:rsidRPr="00F85F47">
        <w:rPr>
          <w:spacing w:val="45"/>
          <w:sz w:val="24"/>
          <w:szCs w:val="24"/>
        </w:rPr>
        <w:t xml:space="preserve"> </w:t>
      </w:r>
      <w:r w:rsidRPr="00F85F47">
        <w:rPr>
          <w:sz w:val="24"/>
          <w:szCs w:val="24"/>
        </w:rPr>
        <w:t>пратећи сјевероисточне међе сљедећих п</w:t>
      </w:r>
      <w:r w:rsidR="00C54079">
        <w:rPr>
          <w:sz w:val="24"/>
          <w:szCs w:val="24"/>
        </w:rPr>
        <w:t>а</w:t>
      </w:r>
      <w:r w:rsidRPr="00F85F47">
        <w:rPr>
          <w:sz w:val="24"/>
          <w:szCs w:val="24"/>
        </w:rPr>
        <w:t>рцела</w:t>
      </w:r>
      <w:r w:rsidR="00C54079">
        <w:rPr>
          <w:sz w:val="24"/>
          <w:szCs w:val="24"/>
        </w:rPr>
        <w:t xml:space="preserve">: </w:t>
      </w:r>
      <w:r w:rsidRPr="00F85F47">
        <w:rPr>
          <w:sz w:val="24"/>
          <w:szCs w:val="24"/>
        </w:rPr>
        <w:t xml:space="preserve">к.п. </w:t>
      </w:r>
      <w:r w:rsidR="00C54079">
        <w:rPr>
          <w:sz w:val="24"/>
          <w:szCs w:val="24"/>
        </w:rPr>
        <w:t xml:space="preserve">број </w:t>
      </w:r>
      <w:r w:rsidRPr="00F85F47">
        <w:rPr>
          <w:sz w:val="24"/>
          <w:szCs w:val="24"/>
        </w:rPr>
        <w:t>4077/1</w:t>
      </w:r>
      <w:r w:rsidR="005F77B1">
        <w:rPr>
          <w:sz w:val="24"/>
          <w:szCs w:val="24"/>
        </w:rPr>
        <w:t xml:space="preserve">, </w:t>
      </w:r>
      <w:r w:rsidRPr="00F85F47">
        <w:rPr>
          <w:sz w:val="24"/>
          <w:szCs w:val="24"/>
        </w:rPr>
        <w:t xml:space="preserve">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4077/3 </w:t>
      </w:r>
      <w:r w:rsidRPr="00F85F47">
        <w:rPr>
          <w:color w:val="0C0C0C"/>
          <w:sz w:val="24"/>
          <w:szCs w:val="24"/>
        </w:rPr>
        <w:t xml:space="preserve">и </w:t>
      </w:r>
      <w:r w:rsidRPr="00F85F47">
        <w:rPr>
          <w:sz w:val="24"/>
          <w:szCs w:val="24"/>
        </w:rPr>
        <w:t xml:space="preserve">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4077/2</w:t>
      </w:r>
      <w:r w:rsidR="00C54079">
        <w:rPr>
          <w:sz w:val="24"/>
          <w:szCs w:val="24"/>
        </w:rPr>
        <w:t xml:space="preserve">, </w:t>
      </w:r>
      <w:r w:rsidRPr="00F85F47">
        <w:rPr>
          <w:color w:val="131313"/>
          <w:sz w:val="24"/>
          <w:szCs w:val="24"/>
        </w:rPr>
        <w:t xml:space="preserve">а </w:t>
      </w:r>
      <w:r w:rsidRPr="00F85F47">
        <w:rPr>
          <w:sz w:val="24"/>
          <w:szCs w:val="24"/>
        </w:rPr>
        <w:t xml:space="preserve">затим  југоисточном међом ове парцеле иде све до сјевероисточне међе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4096/2 и прати ту међу и сјевероисточну међу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4097 којом на сјеверозападну међу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4095 и скреће у правцу југоистока, а затим прати сјевероисточну међу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4098 те њену југоисточну међу којом излази на сјевероисточну међу к.п. </w:t>
      </w:r>
      <w:r w:rsidR="00C54079">
        <w:rPr>
          <w:sz w:val="24"/>
          <w:szCs w:val="24"/>
        </w:rPr>
        <w:t>број</w:t>
      </w:r>
      <w:r w:rsidR="00C54079" w:rsidRPr="00F85F47">
        <w:rPr>
          <w:spacing w:val="3"/>
          <w:sz w:val="24"/>
          <w:szCs w:val="24"/>
        </w:rPr>
        <w:t xml:space="preserve"> </w:t>
      </w:r>
      <w:r w:rsidRPr="00F85F47">
        <w:rPr>
          <w:spacing w:val="3"/>
          <w:sz w:val="24"/>
          <w:szCs w:val="24"/>
        </w:rPr>
        <w:t>4011</w:t>
      </w:r>
      <w:r w:rsidR="00C54079">
        <w:rPr>
          <w:spacing w:val="3"/>
          <w:sz w:val="24"/>
          <w:szCs w:val="24"/>
        </w:rPr>
        <w:t xml:space="preserve"> </w:t>
      </w:r>
      <w:r w:rsidRPr="00F85F47">
        <w:rPr>
          <w:color w:val="1C1C1C"/>
          <w:sz w:val="24"/>
          <w:szCs w:val="24"/>
        </w:rPr>
        <w:t xml:space="preserve">и </w:t>
      </w:r>
      <w:r w:rsidRPr="00F85F47">
        <w:rPr>
          <w:sz w:val="24"/>
          <w:szCs w:val="24"/>
        </w:rPr>
        <w:t>прати је као</w:t>
      </w:r>
      <w:r w:rsidRPr="00F85F47">
        <w:rPr>
          <w:spacing w:val="32"/>
          <w:sz w:val="24"/>
          <w:szCs w:val="24"/>
        </w:rPr>
        <w:t xml:space="preserve"> </w:t>
      </w:r>
      <w:r w:rsidRPr="00F85F47">
        <w:rPr>
          <w:color w:val="0C0C0C"/>
          <w:sz w:val="24"/>
          <w:szCs w:val="24"/>
        </w:rPr>
        <w:t>и сјевероисточне међе сљедећих парцела</w:t>
      </w:r>
      <w:r w:rsidR="00C54079">
        <w:rPr>
          <w:color w:val="0C0C0C"/>
          <w:sz w:val="24"/>
          <w:szCs w:val="24"/>
        </w:rPr>
        <w:t>:</w:t>
      </w:r>
      <w:r w:rsidRPr="00F85F47">
        <w:rPr>
          <w:color w:val="0C0C0C"/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4102/1, к.п. </w:t>
      </w:r>
      <w:r w:rsidR="00C54079">
        <w:rPr>
          <w:sz w:val="24"/>
          <w:szCs w:val="24"/>
        </w:rPr>
        <w:t>број</w:t>
      </w:r>
      <w:r w:rsidR="00C54079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4102/2, к.п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4102/3, к.п.</w:t>
      </w:r>
      <w:r w:rsidR="00387437" w:rsidRPr="00387437">
        <w:rPr>
          <w:sz w:val="24"/>
          <w:szCs w:val="24"/>
        </w:rPr>
        <w:t xml:space="preserve">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4102/4,</w:t>
      </w:r>
      <w:r w:rsidRPr="00F85F47">
        <w:rPr>
          <w:spacing w:val="2"/>
          <w:sz w:val="24"/>
          <w:szCs w:val="24"/>
        </w:rPr>
        <w:t xml:space="preserve">  </w:t>
      </w:r>
      <w:r w:rsidRPr="00F85F47">
        <w:rPr>
          <w:sz w:val="24"/>
          <w:szCs w:val="24"/>
        </w:rPr>
        <w:t>к.п.</w:t>
      </w:r>
      <w:r w:rsidR="00387437" w:rsidRPr="00387437">
        <w:rPr>
          <w:sz w:val="24"/>
          <w:szCs w:val="24"/>
        </w:rPr>
        <w:t xml:space="preserve">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4102/5 и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4102/6.  Граница даље иде југоисточним међама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4102/</w:t>
      </w:r>
      <w:r w:rsidRPr="00F85F47">
        <w:rPr>
          <w:color w:val="111111"/>
          <w:sz w:val="24"/>
          <w:szCs w:val="24"/>
        </w:rPr>
        <w:t xml:space="preserve">6, </w:t>
      </w:r>
      <w:r w:rsidRPr="00F85F47">
        <w:rPr>
          <w:sz w:val="24"/>
          <w:szCs w:val="24"/>
        </w:rPr>
        <w:t xml:space="preserve">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5190, </w:t>
      </w:r>
      <w:r w:rsidRPr="00F85F47">
        <w:rPr>
          <w:spacing w:val="2"/>
          <w:sz w:val="24"/>
          <w:szCs w:val="24"/>
        </w:rPr>
        <w:t>к.п.</w:t>
      </w:r>
      <w:r w:rsidR="00387437" w:rsidRPr="00387437">
        <w:rPr>
          <w:sz w:val="24"/>
          <w:szCs w:val="24"/>
        </w:rPr>
        <w:t xml:space="preserve"> </w:t>
      </w:r>
      <w:r w:rsidR="00387437">
        <w:rPr>
          <w:sz w:val="24"/>
          <w:szCs w:val="24"/>
        </w:rPr>
        <w:t>број</w:t>
      </w:r>
      <w:r w:rsidR="00387437" w:rsidRPr="00F85F47">
        <w:rPr>
          <w:spacing w:val="2"/>
          <w:sz w:val="24"/>
          <w:szCs w:val="24"/>
        </w:rPr>
        <w:t xml:space="preserve"> </w:t>
      </w:r>
      <w:r w:rsidRPr="00F85F47">
        <w:rPr>
          <w:spacing w:val="2"/>
          <w:sz w:val="24"/>
          <w:szCs w:val="24"/>
        </w:rPr>
        <w:t>41</w:t>
      </w:r>
      <w:r w:rsidRPr="00F85F47">
        <w:rPr>
          <w:sz w:val="24"/>
          <w:szCs w:val="24"/>
        </w:rPr>
        <w:t xml:space="preserve">03, </w:t>
      </w:r>
      <w:r w:rsidR="00387437">
        <w:rPr>
          <w:sz w:val="24"/>
          <w:szCs w:val="24"/>
        </w:rPr>
        <w:t>број</w:t>
      </w:r>
      <w:r w:rsidRPr="00F85F47">
        <w:rPr>
          <w:sz w:val="24"/>
          <w:szCs w:val="24"/>
        </w:rPr>
        <w:t xml:space="preserve"> к.п.</w:t>
      </w:r>
      <w:r w:rsidR="0038743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4117/1,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4117/2,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4120, </w:t>
      </w:r>
      <w:r w:rsidRPr="00F85F47">
        <w:rPr>
          <w:spacing w:val="3"/>
          <w:sz w:val="24"/>
          <w:szCs w:val="24"/>
        </w:rPr>
        <w:t xml:space="preserve">к.п. </w:t>
      </w:r>
      <w:r w:rsidR="00387437">
        <w:rPr>
          <w:sz w:val="24"/>
          <w:szCs w:val="24"/>
        </w:rPr>
        <w:t>број</w:t>
      </w:r>
      <w:r w:rsidR="00387437" w:rsidRPr="00F85F47">
        <w:rPr>
          <w:spacing w:val="3"/>
          <w:sz w:val="24"/>
          <w:szCs w:val="24"/>
        </w:rPr>
        <w:t xml:space="preserve"> </w:t>
      </w:r>
      <w:r w:rsidRPr="00F85F47">
        <w:rPr>
          <w:spacing w:val="3"/>
          <w:sz w:val="24"/>
          <w:szCs w:val="24"/>
        </w:rPr>
        <w:t>4121</w:t>
      </w:r>
      <w:r w:rsidR="00387437">
        <w:rPr>
          <w:spacing w:val="3"/>
          <w:sz w:val="24"/>
          <w:szCs w:val="24"/>
        </w:rPr>
        <w:t>,</w:t>
      </w:r>
      <w:r w:rsidRPr="00F85F47">
        <w:rPr>
          <w:spacing w:val="3"/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те југозападним међама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4123,  </w:t>
      </w:r>
      <w:r w:rsidRPr="00F85F47">
        <w:rPr>
          <w:spacing w:val="2"/>
          <w:sz w:val="24"/>
          <w:szCs w:val="24"/>
        </w:rPr>
        <w:t xml:space="preserve">к.п. </w:t>
      </w:r>
      <w:r w:rsidR="00387437">
        <w:rPr>
          <w:sz w:val="24"/>
          <w:szCs w:val="24"/>
        </w:rPr>
        <w:t>број</w:t>
      </w:r>
      <w:r w:rsidR="00387437" w:rsidRPr="00F85F47">
        <w:rPr>
          <w:spacing w:val="2"/>
          <w:sz w:val="24"/>
          <w:szCs w:val="24"/>
        </w:rPr>
        <w:t xml:space="preserve"> </w:t>
      </w:r>
      <w:r w:rsidRPr="00F85F47">
        <w:rPr>
          <w:spacing w:val="2"/>
          <w:sz w:val="24"/>
          <w:szCs w:val="24"/>
        </w:rPr>
        <w:t xml:space="preserve">4124,  </w:t>
      </w:r>
      <w:r w:rsidRPr="00F85F47">
        <w:rPr>
          <w:sz w:val="24"/>
          <w:szCs w:val="24"/>
        </w:rPr>
        <w:t xml:space="preserve">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4125/1,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4126/1 пратећи пут 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5191, све до сјевероисточне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4142 гдје скреће на југ и прати ту међу, а затим иде јужном међом исте парцеле и долази до 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4192 коју прати према југу све</w:t>
      </w:r>
      <w:r w:rsidRPr="00F85F47">
        <w:rPr>
          <w:spacing w:val="45"/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до сјевероисточне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48</w:t>
      </w:r>
      <w:r w:rsidRPr="00F85F47">
        <w:rPr>
          <w:color w:val="1F1F1F"/>
          <w:sz w:val="24"/>
          <w:szCs w:val="24"/>
        </w:rPr>
        <w:t xml:space="preserve">19 </w:t>
      </w:r>
      <w:r w:rsidRPr="00F85F47">
        <w:rPr>
          <w:sz w:val="24"/>
          <w:szCs w:val="24"/>
        </w:rPr>
        <w:t>кој</w:t>
      </w:r>
      <w:r w:rsidRPr="00F85F47">
        <w:rPr>
          <w:color w:val="131313"/>
          <w:sz w:val="24"/>
          <w:szCs w:val="24"/>
        </w:rPr>
        <w:t xml:space="preserve">у </w:t>
      </w:r>
      <w:r w:rsidRPr="00F85F47">
        <w:rPr>
          <w:sz w:val="24"/>
          <w:szCs w:val="24"/>
        </w:rPr>
        <w:t xml:space="preserve">прати као и сјевероисточну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4820/2, а затим њеном јужном међом долази до 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4822/1 коју прати као и </w:t>
      </w:r>
      <w:r w:rsidR="00387437">
        <w:rPr>
          <w:sz w:val="24"/>
          <w:szCs w:val="24"/>
        </w:rPr>
        <w:t>и</w:t>
      </w:r>
      <w:r w:rsidRPr="00F85F47">
        <w:rPr>
          <w:sz w:val="24"/>
          <w:szCs w:val="24"/>
        </w:rPr>
        <w:t xml:space="preserve">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4822/2 и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4823/1, а затим граница обухвата креће према југозападу и прати југоисточну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4823/1 све до југоисточне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4896, иде даље том међом па пресјеца пут к.п.</w:t>
      </w:r>
      <w:r w:rsidR="00387437" w:rsidRPr="00387437">
        <w:rPr>
          <w:sz w:val="24"/>
          <w:szCs w:val="24"/>
        </w:rPr>
        <w:t xml:space="preserve"> </w:t>
      </w:r>
      <w:r w:rsidR="00387437">
        <w:rPr>
          <w:sz w:val="24"/>
          <w:szCs w:val="24"/>
        </w:rPr>
        <w:t>број</w:t>
      </w:r>
      <w:r w:rsidRPr="00F85F47">
        <w:rPr>
          <w:sz w:val="24"/>
          <w:szCs w:val="24"/>
        </w:rPr>
        <w:t xml:space="preserve"> 5189 и даље прати југоисточне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5189,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4923, те источне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4933,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4936,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4939 и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4941 чијом југозападном међом граница обухвата и излази на пут к.</w:t>
      </w:r>
      <w:r w:rsidR="00387437">
        <w:rPr>
          <w:sz w:val="24"/>
          <w:szCs w:val="24"/>
        </w:rPr>
        <w:t>п</w:t>
      </w:r>
      <w:r w:rsidRPr="00F85F47">
        <w:rPr>
          <w:sz w:val="24"/>
          <w:szCs w:val="24"/>
        </w:rPr>
        <w:t xml:space="preserve">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5195, сијече га па прати источну и југоисточну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5130, излази на источну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5162 и прати је као и источну и југозападну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5163, југозападне међе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5162,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5160,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5159/2,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5159/1 и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5158 и овом међом излази на западну међу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5158 гдје почиње западна граница обухвата овог регулационог плана којом прати западне међе сљедећих парцела</w:t>
      </w:r>
      <w:r w:rsidR="00387437">
        <w:rPr>
          <w:sz w:val="24"/>
          <w:szCs w:val="24"/>
        </w:rPr>
        <w:t>:</w:t>
      </w:r>
      <w:r w:rsidRPr="00F85F47">
        <w:rPr>
          <w:sz w:val="24"/>
          <w:szCs w:val="24"/>
        </w:rPr>
        <w:t xml:space="preserve">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5158,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5155,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5156,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5154/4,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5153,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5149,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5150,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5148,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5147,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5143,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5142,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5140,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5138/2,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5138/1,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5136,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5134,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5133, к.п. </w:t>
      </w:r>
      <w:r w:rsidR="00387437">
        <w:rPr>
          <w:sz w:val="24"/>
          <w:szCs w:val="24"/>
        </w:rPr>
        <w:t>број</w:t>
      </w:r>
      <w:r w:rsidR="00387437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5132/2, к.п. </w:t>
      </w:r>
      <w:r w:rsidR="000A6C08">
        <w:rPr>
          <w:sz w:val="24"/>
          <w:szCs w:val="24"/>
        </w:rPr>
        <w:lastRenderedPageBreak/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5132/1,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5124/2,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5124/1,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5120,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5110,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5109,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5104,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5103,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5099/1,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5091,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5089/2,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5087,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5085,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5083 и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5082, пресјеца затим даље почетак Дринске улице па наставља западним међама парцела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5052,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5049/1,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5050,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5039,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5035,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5034,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5032,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5022,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5021,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5016,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5018,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4688,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4687,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4686,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4681,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4674,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4671,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4673,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4672/2,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4620,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4610/3,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4610/1 и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4609 којом излази на почетак</w:t>
      </w:r>
      <w:r w:rsidR="000A6C08">
        <w:rPr>
          <w:sz w:val="24"/>
          <w:szCs w:val="24"/>
        </w:rPr>
        <w:t xml:space="preserve"> У</w:t>
      </w:r>
      <w:r w:rsidRPr="00F85F47">
        <w:rPr>
          <w:sz w:val="24"/>
          <w:szCs w:val="24"/>
        </w:rPr>
        <w:t xml:space="preserve">лице Николе </w:t>
      </w:r>
      <w:r w:rsidR="000A6C08">
        <w:rPr>
          <w:sz w:val="24"/>
          <w:szCs w:val="24"/>
        </w:rPr>
        <w:t>С</w:t>
      </w:r>
      <w:r w:rsidRPr="00F85F47">
        <w:rPr>
          <w:sz w:val="24"/>
          <w:szCs w:val="24"/>
        </w:rPr>
        <w:t xml:space="preserve">пасојевића и пратећи десну страну те улице у правцу истока иде сјеверним међама парцела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4602, к.п.</w:t>
      </w:r>
      <w:r w:rsidR="000A6C08" w:rsidRPr="000A6C08">
        <w:rPr>
          <w:sz w:val="24"/>
          <w:szCs w:val="24"/>
        </w:rPr>
        <w:t xml:space="preserve">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4600,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4599,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4598,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4596, к.п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4594,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4723, к.п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4725,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4727,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4729,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4735/1,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4738,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4740,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4742,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4743, гдје излази на </w:t>
      </w:r>
      <w:r w:rsidR="000A6C08">
        <w:rPr>
          <w:sz w:val="24"/>
          <w:szCs w:val="24"/>
        </w:rPr>
        <w:t>У</w:t>
      </w:r>
      <w:r w:rsidRPr="00F85F47">
        <w:rPr>
          <w:sz w:val="24"/>
          <w:szCs w:val="24"/>
        </w:rPr>
        <w:t>лицу Галац и прати према сјеверу западне међе сљедећих парцела</w:t>
      </w:r>
      <w:r w:rsidR="000A6C08">
        <w:rPr>
          <w:sz w:val="24"/>
          <w:szCs w:val="24"/>
        </w:rPr>
        <w:t>:</w:t>
      </w:r>
      <w:r w:rsidRPr="00F85F47">
        <w:rPr>
          <w:sz w:val="24"/>
          <w:szCs w:val="24"/>
        </w:rPr>
        <w:t xml:space="preserve">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4759,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4755,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4749,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4747, к.п.</w:t>
      </w:r>
      <w:r w:rsidR="00314BFC" w:rsidRPr="00F85F47">
        <w:rPr>
          <w:sz w:val="24"/>
          <w:szCs w:val="24"/>
        </w:rPr>
        <w:t xml:space="preserve">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4744,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5192,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4466,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4467,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4468, к.п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4473/1,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4473/2, кп.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4476,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4482,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4484,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4486,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4489,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4491,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4493,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4461,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4232,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4233,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4234,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4236/1,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4238,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4241,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4243,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4388,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4389,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4393,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4392,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4394,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4399,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4398/3,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4400,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4402,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4403,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4409,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4411 и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4413/1. Затим иде у правцу сјевероистока сјеверном међом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4270 (</w:t>
      </w:r>
      <w:r w:rsidR="000A6C08">
        <w:rPr>
          <w:sz w:val="24"/>
          <w:szCs w:val="24"/>
        </w:rPr>
        <w:t>У</w:t>
      </w:r>
      <w:r w:rsidRPr="00F85F47">
        <w:rPr>
          <w:sz w:val="24"/>
          <w:szCs w:val="24"/>
        </w:rPr>
        <w:t>лица С</w:t>
      </w:r>
      <w:r w:rsidR="000A6C08">
        <w:rPr>
          <w:sz w:val="24"/>
          <w:szCs w:val="24"/>
        </w:rPr>
        <w:t>в</w:t>
      </w:r>
      <w:r w:rsidRPr="00F85F47">
        <w:rPr>
          <w:sz w:val="24"/>
          <w:szCs w:val="24"/>
        </w:rPr>
        <w:t xml:space="preserve">етозара Милетића), затим скреће у правцу сјевера и иде западном међом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3822/1 и 3822/3, излази на Милешевску улицу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4259, иде у правцу истока пресјецајући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3822/1 и 3823, иде сјеверном међом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3829, скреће ка сјеверу, улази у </w:t>
      </w:r>
      <w:r w:rsidR="000A6C08">
        <w:rPr>
          <w:sz w:val="24"/>
          <w:szCs w:val="24"/>
        </w:rPr>
        <w:t>У</w:t>
      </w:r>
      <w:r w:rsidRPr="00F85F47">
        <w:rPr>
          <w:sz w:val="24"/>
          <w:szCs w:val="24"/>
        </w:rPr>
        <w:t xml:space="preserve">лицу Розе Папо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3840 и наставља источним међама парцела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3819,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3817,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3816,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3815,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3550, к.п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3549,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3548,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3547,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3546</w:t>
      </w:r>
      <w:r w:rsidR="000210EF">
        <w:rPr>
          <w:sz w:val="24"/>
          <w:szCs w:val="24"/>
        </w:rPr>
        <w:t xml:space="preserve"> и</w:t>
      </w:r>
      <w:r w:rsidRPr="00F85F47">
        <w:rPr>
          <w:sz w:val="24"/>
          <w:szCs w:val="24"/>
        </w:rPr>
        <w:t xml:space="preserve">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>3546</w:t>
      </w:r>
      <w:r w:rsidR="000210EF">
        <w:rPr>
          <w:sz w:val="24"/>
          <w:szCs w:val="24"/>
        </w:rPr>
        <w:t xml:space="preserve"> и </w:t>
      </w:r>
      <w:r w:rsidRPr="00F85F47">
        <w:rPr>
          <w:sz w:val="24"/>
          <w:szCs w:val="24"/>
        </w:rPr>
        <w:t xml:space="preserve">излази поново на </w:t>
      </w:r>
      <w:r w:rsidR="000A6C08">
        <w:rPr>
          <w:sz w:val="24"/>
          <w:szCs w:val="24"/>
        </w:rPr>
        <w:t>У</w:t>
      </w:r>
      <w:r w:rsidRPr="00F85F47">
        <w:rPr>
          <w:sz w:val="24"/>
          <w:szCs w:val="24"/>
        </w:rPr>
        <w:t xml:space="preserve">лицу </w:t>
      </w:r>
      <w:r w:rsidR="000A6C08">
        <w:rPr>
          <w:sz w:val="24"/>
          <w:szCs w:val="24"/>
        </w:rPr>
        <w:t>к</w:t>
      </w:r>
      <w:r w:rsidRPr="00F85F47">
        <w:rPr>
          <w:sz w:val="24"/>
          <w:szCs w:val="24"/>
        </w:rPr>
        <w:t xml:space="preserve">нез Иво од Семберије и иде у правцу истока спаја се са к.п. </w:t>
      </w:r>
      <w:r w:rsidR="000A6C08">
        <w:rPr>
          <w:sz w:val="24"/>
          <w:szCs w:val="24"/>
        </w:rPr>
        <w:t>број</w:t>
      </w:r>
      <w:r w:rsidR="000A6C08" w:rsidRPr="00F85F47">
        <w:rPr>
          <w:sz w:val="24"/>
          <w:szCs w:val="24"/>
        </w:rPr>
        <w:t xml:space="preserve"> </w:t>
      </w:r>
      <w:r w:rsidRPr="00F85F47">
        <w:rPr>
          <w:sz w:val="24"/>
          <w:szCs w:val="24"/>
        </w:rPr>
        <w:t xml:space="preserve">3856, све к.о. Бијељина 2, гдје се и завршава.   </w:t>
      </w:r>
    </w:p>
    <w:p w:rsidR="00533C0A" w:rsidRPr="005F4D93" w:rsidRDefault="00533C0A" w:rsidP="00533C0A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 w:rsidRPr="005F4D93">
        <w:rPr>
          <w:bCs/>
        </w:rPr>
        <w:t>О</w:t>
      </w:r>
      <w:r w:rsidRPr="005F4D93">
        <w:rPr>
          <w:bCs/>
          <w:lang w:val="sr-Latn-CS"/>
        </w:rPr>
        <w:t xml:space="preserve">бухват </w:t>
      </w:r>
      <w:r w:rsidR="00A5499E" w:rsidRPr="005F4D93">
        <w:rPr>
          <w:lang w:val="sr-Cyrl-CS"/>
        </w:rPr>
        <w:t>Плана</w:t>
      </w:r>
      <w:r w:rsidR="00A5499E" w:rsidRPr="005F4D93">
        <w:rPr>
          <w:bCs/>
        </w:rPr>
        <w:t xml:space="preserve"> </w:t>
      </w:r>
      <w:r w:rsidRPr="005F4D93">
        <w:rPr>
          <w:bCs/>
        </w:rPr>
        <w:t xml:space="preserve">има </w:t>
      </w:r>
      <w:r w:rsidRPr="005F4D93">
        <w:rPr>
          <w:bCs/>
          <w:lang w:val="sr-Latn-CS"/>
        </w:rPr>
        <w:t>укупн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површин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од </w:t>
      </w:r>
      <w:r w:rsidR="002860FA">
        <w:rPr>
          <w:bCs/>
          <w:lang w:val="sr-Cyrl-BA"/>
        </w:rPr>
        <w:t>177,54</w:t>
      </w:r>
      <w:r w:rsidR="003F1ED4">
        <w:rPr>
          <w:bCs/>
          <w:lang w:val="sr-Cyrl-CS"/>
        </w:rPr>
        <w:t xml:space="preserve"> </w:t>
      </w:r>
      <w:r w:rsidR="00932303">
        <w:rPr>
          <w:bCs/>
        </w:rPr>
        <w:t>х</w:t>
      </w:r>
      <w:r w:rsidRPr="005F4D93">
        <w:rPr>
          <w:bCs/>
          <w:lang w:val="sr-Cyrl-CS"/>
        </w:rPr>
        <w:t>а</w:t>
      </w:r>
      <w:r w:rsidRPr="005F4D93">
        <w:rPr>
          <w:bCs/>
          <w:lang w:val="sr-Latn-CS"/>
        </w:rPr>
        <w:t>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2860FA"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2477A6" w:rsidRPr="00A703EB" w:rsidRDefault="002477A6" w:rsidP="00533C0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7673BF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7673BF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lastRenderedPageBreak/>
        <w:t>Члан 10.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F85F47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F85F47" w:rsidRPr="00F85F47" w:rsidRDefault="00F85F47" w:rsidP="00F85F47">
      <w:pPr>
        <w:ind w:firstLine="720"/>
        <w:jc w:val="both"/>
        <w:rPr>
          <w:lang w:val="sr-Latn-BA"/>
        </w:rPr>
      </w:pP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DE48D1">
        <w:rPr>
          <w:lang w:val="sr-Cyrl-BA"/>
        </w:rPr>
        <w:t>1</w:t>
      </w:r>
      <w:r>
        <w:rPr>
          <w:lang w:val="sr-Cyrl-BA"/>
        </w:rPr>
        <w:t>.</w:t>
      </w:r>
    </w:p>
    <w:p w:rsidR="002477A6" w:rsidRDefault="002477A6" w:rsidP="00D303BA">
      <w:pPr>
        <w:jc w:val="center"/>
        <w:rPr>
          <w:lang w:val="sr-Cyrl-BA"/>
        </w:rPr>
      </w:pPr>
    </w:p>
    <w:p w:rsidR="00D303BA" w:rsidRDefault="00D303BA" w:rsidP="00D303BA">
      <w:pPr>
        <w:ind w:firstLine="708"/>
        <w:jc w:val="both"/>
      </w:pPr>
      <w:r>
        <w:t xml:space="preserve">Ова </w:t>
      </w:r>
      <w:r w:rsidR="002477A6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2477A6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2477A6">
        <w:rPr>
          <w:lang w:val="sr-Cyrl-CS"/>
        </w:rPr>
        <w:t>“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2477A6" w:rsidRDefault="002477A6" w:rsidP="002477A6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477A6" w:rsidRDefault="002477A6" w:rsidP="002477A6">
      <w:pPr>
        <w:jc w:val="both"/>
        <w:rPr>
          <w:lang w:val="sr-Cyrl-CS"/>
        </w:rPr>
      </w:pPr>
    </w:p>
    <w:p w:rsidR="002477A6" w:rsidRDefault="002477A6" w:rsidP="002477A6">
      <w:pPr>
        <w:jc w:val="both"/>
        <w:rPr>
          <w:lang w:val="sr-Cyrl-CS"/>
        </w:rPr>
      </w:pPr>
    </w:p>
    <w:p w:rsidR="002477A6" w:rsidRDefault="002477A6" w:rsidP="002477A6">
      <w:pPr>
        <w:jc w:val="both"/>
      </w:pPr>
    </w:p>
    <w:p w:rsidR="002477A6" w:rsidRDefault="002477A6" w:rsidP="002477A6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2477A6" w:rsidTr="002477A6">
        <w:tc>
          <w:tcPr>
            <w:tcW w:w="3794" w:type="dxa"/>
            <w:hideMark/>
          </w:tcPr>
          <w:p w:rsidR="002477A6" w:rsidRDefault="0038111B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01-022-51</w:t>
            </w:r>
            <w:r w:rsidR="002477A6"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2477A6" w:rsidTr="002477A6">
        <w:tc>
          <w:tcPr>
            <w:tcW w:w="3794" w:type="dxa"/>
            <w:hideMark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 w:rsidP="002477A6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2477A6" w:rsidTr="002477A6">
        <w:tc>
          <w:tcPr>
            <w:tcW w:w="3794" w:type="dxa"/>
            <w:hideMark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9A3A5A">
              <w:rPr>
                <w:lang w:val="sr-Cyrl-CS"/>
              </w:rPr>
              <w:t xml:space="preserve">9. јун </w:t>
            </w:r>
            <w:r>
              <w:rPr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2477A6" w:rsidRDefault="002477A6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2477A6" w:rsidTr="002477A6">
        <w:tc>
          <w:tcPr>
            <w:tcW w:w="3794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7C394C">
              <w:rPr>
                <w:lang w:val="sr-Cyrl-CS"/>
              </w:rPr>
              <w:t>, с.р.</w:t>
            </w:r>
          </w:p>
        </w:tc>
      </w:tr>
      <w:tr w:rsidR="002477A6" w:rsidTr="002477A6">
        <w:tc>
          <w:tcPr>
            <w:tcW w:w="3794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477A6" w:rsidRDefault="002477A6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2477A6" w:rsidRDefault="002477A6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2477A6" w:rsidRDefault="002477A6" w:rsidP="002477A6">
      <w:pPr>
        <w:jc w:val="both"/>
        <w:rPr>
          <w:rFonts w:eastAsia="Calibri"/>
        </w:rPr>
      </w:pPr>
    </w:p>
    <w:p w:rsidR="002477A6" w:rsidRDefault="002477A6" w:rsidP="002477A6">
      <w:pPr>
        <w:jc w:val="both"/>
      </w:pPr>
    </w:p>
    <w:p w:rsidR="002477A6" w:rsidRDefault="002477A6" w:rsidP="002477A6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830CF4" w:rsidRDefault="00830CF4" w:rsidP="00DE48D1">
      <w:pPr>
        <w:ind w:left="360"/>
        <w:jc w:val="both"/>
      </w:pPr>
    </w:p>
    <w:sectPr w:rsidR="00830CF4" w:rsidSect="002477A6">
      <w:footerReference w:type="default" r:id="rId7"/>
      <w:pgSz w:w="11906" w:h="16838"/>
      <w:pgMar w:top="851" w:right="991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558" w:rsidRDefault="009F1558" w:rsidP="000D2192">
      <w:r>
        <w:separator/>
      </w:r>
    </w:p>
  </w:endnote>
  <w:endnote w:type="continuationSeparator" w:id="0">
    <w:p w:rsidR="009F1558" w:rsidRDefault="009F1558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2D5FF4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7C394C">
          <w:rPr>
            <w:noProof/>
          </w:rPr>
          <w:t>4</w:t>
        </w:r>
        <w:r>
          <w:fldChar w:fldCharType="end"/>
        </w:r>
      </w:p>
    </w:sdtContent>
  </w:sdt>
  <w:p w:rsidR="001764F4" w:rsidRDefault="009F15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558" w:rsidRDefault="009F1558" w:rsidP="000D2192">
      <w:r>
        <w:separator/>
      </w:r>
    </w:p>
  </w:footnote>
  <w:footnote w:type="continuationSeparator" w:id="0">
    <w:p w:rsidR="009F1558" w:rsidRDefault="009F1558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210EF"/>
    <w:rsid w:val="000A6C08"/>
    <w:rsid w:val="000A78F5"/>
    <w:rsid w:val="000B1DD8"/>
    <w:rsid w:val="000B4AB3"/>
    <w:rsid w:val="000D2192"/>
    <w:rsid w:val="000E4421"/>
    <w:rsid w:val="000F6064"/>
    <w:rsid w:val="000F670D"/>
    <w:rsid w:val="00112429"/>
    <w:rsid w:val="00113640"/>
    <w:rsid w:val="00131E04"/>
    <w:rsid w:val="0017468A"/>
    <w:rsid w:val="001F69D2"/>
    <w:rsid w:val="00205A32"/>
    <w:rsid w:val="002165C0"/>
    <w:rsid w:val="00242BBD"/>
    <w:rsid w:val="002477A6"/>
    <w:rsid w:val="0025415F"/>
    <w:rsid w:val="00264AA2"/>
    <w:rsid w:val="00266CE4"/>
    <w:rsid w:val="002860FA"/>
    <w:rsid w:val="002B59AD"/>
    <w:rsid w:val="002C29FF"/>
    <w:rsid w:val="002D5FF4"/>
    <w:rsid w:val="002F7E57"/>
    <w:rsid w:val="00314BFC"/>
    <w:rsid w:val="00365075"/>
    <w:rsid w:val="0038111B"/>
    <w:rsid w:val="00383365"/>
    <w:rsid w:val="00387437"/>
    <w:rsid w:val="003A6C98"/>
    <w:rsid w:val="003F1EC7"/>
    <w:rsid w:val="003F1ED4"/>
    <w:rsid w:val="003F1FDA"/>
    <w:rsid w:val="004A221A"/>
    <w:rsid w:val="004C1726"/>
    <w:rsid w:val="00511CCC"/>
    <w:rsid w:val="00533C0A"/>
    <w:rsid w:val="005B2EB9"/>
    <w:rsid w:val="005F4D93"/>
    <w:rsid w:val="005F77B1"/>
    <w:rsid w:val="00694791"/>
    <w:rsid w:val="006E491E"/>
    <w:rsid w:val="007673BF"/>
    <w:rsid w:val="007679B8"/>
    <w:rsid w:val="007876C6"/>
    <w:rsid w:val="00792D6A"/>
    <w:rsid w:val="007A0619"/>
    <w:rsid w:val="007C394C"/>
    <w:rsid w:val="007C61BC"/>
    <w:rsid w:val="00801DCC"/>
    <w:rsid w:val="00815512"/>
    <w:rsid w:val="00820FDE"/>
    <w:rsid w:val="00830CF4"/>
    <w:rsid w:val="00846653"/>
    <w:rsid w:val="0087684E"/>
    <w:rsid w:val="00921BC3"/>
    <w:rsid w:val="00932303"/>
    <w:rsid w:val="009651F4"/>
    <w:rsid w:val="00971EDD"/>
    <w:rsid w:val="009A357E"/>
    <w:rsid w:val="009A3A5A"/>
    <w:rsid w:val="009D70C3"/>
    <w:rsid w:val="009F1558"/>
    <w:rsid w:val="00A5499E"/>
    <w:rsid w:val="00A927FA"/>
    <w:rsid w:val="00A96B6F"/>
    <w:rsid w:val="00AA6F2E"/>
    <w:rsid w:val="00AC6773"/>
    <w:rsid w:val="00AD3538"/>
    <w:rsid w:val="00B3493B"/>
    <w:rsid w:val="00BB29D5"/>
    <w:rsid w:val="00BE3EE2"/>
    <w:rsid w:val="00C43348"/>
    <w:rsid w:val="00C54079"/>
    <w:rsid w:val="00CC568A"/>
    <w:rsid w:val="00CE1BC7"/>
    <w:rsid w:val="00D303BA"/>
    <w:rsid w:val="00D52584"/>
    <w:rsid w:val="00DA3FEC"/>
    <w:rsid w:val="00DB14DC"/>
    <w:rsid w:val="00DD452E"/>
    <w:rsid w:val="00DE48D1"/>
    <w:rsid w:val="00E40D5E"/>
    <w:rsid w:val="00E427E4"/>
    <w:rsid w:val="00E94EDB"/>
    <w:rsid w:val="00F5232B"/>
    <w:rsid w:val="00F85F47"/>
    <w:rsid w:val="00FA026B"/>
    <w:rsid w:val="00FB4128"/>
    <w:rsid w:val="00FE0E61"/>
    <w:rsid w:val="00FF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35</cp:revision>
  <cp:lastPrinted>2021-06-10T10:50:00Z</cp:lastPrinted>
  <dcterms:created xsi:type="dcterms:W3CDTF">2021-05-21T07:14:00Z</dcterms:created>
  <dcterms:modified xsi:type="dcterms:W3CDTF">2021-06-10T10:56:00Z</dcterms:modified>
</cp:coreProperties>
</file>