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621"/>
      </w:tblGrid>
      <w:tr w:rsidR="004C5208" w:rsidRPr="00310D9B">
        <w:tc>
          <w:tcPr>
            <w:tcW w:w="9621" w:type="dxa"/>
          </w:tcPr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sr-Cyrl-CS"/>
              </w:rPr>
            </w:pPr>
            <w:r w:rsidRPr="00310D9B">
              <w:rPr>
                <w:b/>
                <w:bCs/>
                <w:sz w:val="32"/>
                <w:szCs w:val="32"/>
                <w:lang w:val="sr-Cyrl-CS"/>
              </w:rPr>
              <w:t>Јавна Установа</w:t>
            </w:r>
          </w:p>
          <w:p w:rsidR="004C5208" w:rsidRPr="00310D9B" w:rsidRDefault="004C5208" w:rsidP="00310D9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sr-Cyrl-CS"/>
              </w:rPr>
            </w:pPr>
            <w:r w:rsidRPr="00310D9B">
              <w:rPr>
                <w:b/>
                <w:bCs/>
                <w:sz w:val="32"/>
                <w:szCs w:val="32"/>
                <w:lang w:val="sr-Cyrl-CS"/>
              </w:rPr>
              <w:t>Бања „Дворови“</w:t>
            </w:r>
          </w:p>
          <w:p w:rsidR="004C5208" w:rsidRPr="00310D9B" w:rsidRDefault="004C5208" w:rsidP="00310D9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sr-Cyrl-CS"/>
              </w:rPr>
            </w:pPr>
            <w:r w:rsidRPr="00310D9B">
              <w:rPr>
                <w:b/>
                <w:bCs/>
                <w:sz w:val="32"/>
                <w:szCs w:val="32"/>
                <w:lang w:val="sr-Cyrl-CS"/>
              </w:rPr>
              <w:t>Д в о р о в и</w:t>
            </w: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jc w:val="center"/>
              <w:rPr>
                <w:b/>
                <w:bCs/>
                <w:sz w:val="48"/>
                <w:szCs w:val="48"/>
                <w:lang w:val="sr-Cyrl-CS"/>
              </w:rPr>
            </w:pPr>
            <w:r w:rsidRPr="00310D9B">
              <w:rPr>
                <w:b/>
                <w:bCs/>
                <w:sz w:val="48"/>
                <w:szCs w:val="48"/>
                <w:lang w:val="sr-Cyrl-CS"/>
              </w:rPr>
              <w:t>И  Н  Ф  О  Р  М  А  Ц  И  Ј  А</w:t>
            </w:r>
          </w:p>
          <w:p w:rsidR="004C5208" w:rsidRPr="00310D9B" w:rsidRDefault="004C5208" w:rsidP="00310D9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sr-Cyrl-CS"/>
              </w:rPr>
            </w:pPr>
            <w:r w:rsidRPr="00310D9B">
              <w:rPr>
                <w:b/>
                <w:bCs/>
                <w:sz w:val="32"/>
                <w:szCs w:val="32"/>
                <w:lang w:val="sr-Cyrl-CS"/>
              </w:rPr>
              <w:t>о раду и пословању</w:t>
            </w:r>
          </w:p>
          <w:p w:rsidR="004C5208" w:rsidRPr="00310D9B" w:rsidRDefault="004C5208" w:rsidP="00310D9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sr-Cyrl-CS"/>
              </w:rPr>
            </w:pPr>
            <w:r w:rsidRPr="00310D9B">
              <w:rPr>
                <w:b/>
                <w:bCs/>
                <w:sz w:val="32"/>
                <w:szCs w:val="32"/>
                <w:lang w:val="sr-Cyrl-CS"/>
              </w:rPr>
              <w:t>за 2011 годину</w:t>
            </w: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sz w:val="32"/>
                <w:szCs w:val="32"/>
                <w:lang w:val="sr-Cyrl-CS"/>
              </w:rPr>
            </w:pPr>
            <w:r w:rsidRPr="00310D9B">
              <w:rPr>
                <w:sz w:val="32"/>
                <w:szCs w:val="32"/>
                <w:lang w:val="sr-Cyrl-CS"/>
              </w:rPr>
              <w:t>Дворови, март 2012 године</w:t>
            </w: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  <w:p w:rsidR="004C5208" w:rsidRPr="00310D9B" w:rsidRDefault="004C5208" w:rsidP="00310D9B">
            <w:pPr>
              <w:spacing w:after="0" w:line="240" w:lineRule="auto"/>
              <w:rPr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4C5208" w:rsidRDefault="004C5208" w:rsidP="00C55252">
      <w:pPr>
        <w:rPr>
          <w:b/>
          <w:bCs/>
          <w:sz w:val="24"/>
          <w:szCs w:val="24"/>
          <w:lang w:val="sr-Cyrl-CS"/>
        </w:rPr>
      </w:pPr>
    </w:p>
    <w:p w:rsidR="004C5208" w:rsidRPr="00BA0EA8" w:rsidRDefault="004C5208" w:rsidP="00E67B98">
      <w:pPr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УВОДНЕ  НАПОМЕНЕ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 w:rsidRPr="00801E6E">
        <w:rPr>
          <w:sz w:val="24"/>
          <w:szCs w:val="24"/>
          <w:lang w:val="sr-Cyrl-CS"/>
        </w:rPr>
        <w:t xml:space="preserve">     Почело је случајно 1956. године, када су нафташи тражећи нафту</w:t>
      </w:r>
      <w:r>
        <w:rPr>
          <w:sz w:val="24"/>
          <w:szCs w:val="24"/>
          <w:lang w:val="sr-Cyrl-CS"/>
        </w:rPr>
        <w:t xml:space="preserve"> јужно од Саве направили бушотину у Дворовима из које је са дубине од 1270 метара прокуљала врела минерална вода ( 75 </w:t>
      </w:r>
      <w:r w:rsidRPr="00801E6E">
        <w:rPr>
          <w:sz w:val="24"/>
          <w:szCs w:val="24"/>
          <w:vertAlign w:val="superscript"/>
          <w:lang w:val="sr-Cyrl-CS"/>
        </w:rPr>
        <w:t>О</w:t>
      </w:r>
      <w:r>
        <w:rPr>
          <w:sz w:val="24"/>
          <w:szCs w:val="24"/>
          <w:lang w:val="sr-Cyrl-CS"/>
        </w:rPr>
        <w:t>C ) и почела неконтролисано да се излива.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Опрезни мјештани дали су топлу воду на анализу која је потврдила да се ради о минералној води значајних карактеристика у терапији реуматских обољења са јасно израженим минералним својствима.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Одмах се кренуло са изградњом купатила и бањског објекта са резервоаром за топлу воду која је морала природно да се хлади, јер је била претопла за директну употребу.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Покрај бањског објекта нешто касније, средином 1968 године израђен је и олимпијски базен са топлом водом, што је у то вријеме била ријетка и јединствена прилика у цијелој Босни и Херцеговини јер су купачи имали могућност да истински уживају при купању и одмору.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Касније је израђен ресторан „Стара бања“ садашњег назива „Извор“ непосредно код изворишта термоминералне воде. 1981 године израђен је мали дјечији базен.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Све до 1986 године објектима бање и комплексом од два базена управљала је Мјесна заједница  Дворови, а од 1986 године оснива се Радна Организација „Бањско Рекреативни Центар“ Дворови, и од тада почиње плански развој бање у смислу изградње инфраструктуре и организационог дјеловања у туристичко – угоститељском смислу.  У том периоду комплекс базена проширује се на пет, са спортским теренима, урађена су два тенис игралишта, адаптирани и проширени постојећи ресторани, урађена асвалтна стаза за пјешаке и бициклисте од Дворова до Бијељине, каја је на жалост касније узурпирана, те је урађена тзв. прва фаза хотела „Свети Стефан“.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Захваљујући тадашњем руководству долази до снажног прогреса у изградњи инфраструктуре и амбијента по коме је бања и данас препознатљива, тако да Дворови почињу да се разликују од типичног Семберског села и све више личе на бањско мјесто.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Ратна дешавања заустављају развој Бање, а послератни проблеми првенствено у наплати рачуна за пружене услуге, као и нерјешен статус Бање у систему Републичких капацитета здравствених мрежа Републике Српске доводе Установу у тежак финансијски положај. 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Током 2007 године Установа успијева дефинитивно да изађе из финансијке кризе и нормализује пословање. Како је тренд успјешног пословања настављен и наредних година, рађени су планови даљег развоја првенствено за  завршетак затвореног базена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чиме би била комплетирана укупна  понуда.Поплаве из децембра 2010, значајно су промјениле ситуацију и све планирано пролонгирале за наредни период.</w:t>
      </w: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801E6E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A4791D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 xml:space="preserve">           Бања „Дворови“ </w:t>
      </w:r>
      <w:r>
        <w:rPr>
          <w:sz w:val="24"/>
          <w:szCs w:val="24"/>
          <w:lang w:val="sr-Cyrl-CS"/>
        </w:rPr>
        <w:t xml:space="preserve"> је </w:t>
      </w:r>
      <w:r w:rsidRPr="00A4791D">
        <w:rPr>
          <w:sz w:val="24"/>
          <w:szCs w:val="24"/>
          <w:lang w:val="sr-Cyrl-CS"/>
        </w:rPr>
        <w:t>од марта 1994 године уписом у регистар код Основног суда у Бијељи</w:t>
      </w:r>
      <w:r>
        <w:rPr>
          <w:sz w:val="24"/>
          <w:szCs w:val="24"/>
          <w:lang w:val="sr-Cyrl-CS"/>
        </w:rPr>
        <w:t xml:space="preserve">ни по Рјешењу бр: Р: 1-157/94 </w:t>
      </w:r>
      <w:r w:rsidRPr="00A4791D">
        <w:rPr>
          <w:sz w:val="24"/>
          <w:szCs w:val="24"/>
          <w:lang w:val="sr-Cyrl-CS"/>
        </w:rPr>
        <w:t xml:space="preserve"> организована као Јавна Установа са:</w:t>
      </w:r>
    </w:p>
    <w:p w:rsidR="004C5208" w:rsidRPr="00A4791D" w:rsidRDefault="004C5208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Матичним бројем   1235966</w:t>
      </w:r>
    </w:p>
    <w:p w:rsidR="004C5208" w:rsidRPr="00A4791D" w:rsidRDefault="004C5208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Шифром дјелатности 85141- Медицинска рехабилитација</w:t>
      </w:r>
    </w:p>
    <w:p w:rsidR="004C5208" w:rsidRPr="00A4791D" w:rsidRDefault="004C5208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ЈИБ 4400367410003</w:t>
      </w:r>
    </w:p>
    <w:p w:rsidR="004C5208" w:rsidRPr="00A4791D" w:rsidRDefault="004C5208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ПИБ 400367410003</w:t>
      </w:r>
    </w:p>
    <w:p w:rsidR="004C5208" w:rsidRPr="00A4791D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 xml:space="preserve">     Како су оснивачи Мјесна заједница и Скупштина Општине Бијељина, капитал је 100% државни и није био предмет власничке трансформације – тј. Приватизације по досадашњим Законима.</w:t>
      </w:r>
    </w:p>
    <w:p w:rsidR="004C5208" w:rsidRPr="00A4791D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Latn-CS"/>
        </w:rPr>
        <w:t xml:space="preserve">     Имовином </w:t>
      </w:r>
      <w:r w:rsidRPr="00A4791D">
        <w:rPr>
          <w:sz w:val="24"/>
          <w:szCs w:val="24"/>
          <w:lang w:val="sr-Cyrl-CS"/>
        </w:rPr>
        <w:t xml:space="preserve">Ј.У. </w:t>
      </w:r>
      <w:r w:rsidRPr="00A4791D">
        <w:rPr>
          <w:sz w:val="24"/>
          <w:szCs w:val="24"/>
          <w:lang w:val="sr-Latn-CS"/>
        </w:rPr>
        <w:t>Бање „</w:t>
      </w:r>
      <w:r w:rsidRPr="00A4791D">
        <w:rPr>
          <w:sz w:val="24"/>
          <w:szCs w:val="24"/>
          <w:lang w:val="sr-Cyrl-CS"/>
        </w:rPr>
        <w:t>Дворови“ управља Управни одбор у саставу:</w:t>
      </w:r>
    </w:p>
    <w:p w:rsidR="004C5208" w:rsidRPr="00A4791D" w:rsidRDefault="004C5208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Лукић др. Влајко – предсједник</w:t>
      </w:r>
    </w:p>
    <w:p w:rsidR="004C5208" w:rsidRPr="00A4791D" w:rsidRDefault="004C5208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Перић Драгослав- замјеник предсједника</w:t>
      </w:r>
    </w:p>
    <w:p w:rsidR="004C5208" w:rsidRPr="00A4791D" w:rsidRDefault="004C5208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Спасојевић Драган – члан</w:t>
      </w:r>
    </w:p>
    <w:p w:rsidR="004C5208" w:rsidRPr="00A4791D" w:rsidRDefault="004C5208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Јовић – Николић др. Стојанка – члан</w:t>
      </w:r>
    </w:p>
    <w:p w:rsidR="004C5208" w:rsidRPr="00A4791D" w:rsidRDefault="004C5208" w:rsidP="00A4791D">
      <w:pPr>
        <w:pStyle w:val="NoSpacing"/>
        <w:numPr>
          <w:ilvl w:val="0"/>
          <w:numId w:val="2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Рикић Миливоје – члан</w:t>
      </w:r>
    </w:p>
    <w:p w:rsidR="004C5208" w:rsidRPr="00A4791D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Пословима руководи, заступа Ј.У. пред органима државе и другим правним лицима, располаже средствима:</w:t>
      </w:r>
    </w:p>
    <w:p w:rsidR="004C5208" w:rsidRPr="00A4791D" w:rsidRDefault="004C5208" w:rsidP="00A4791D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A4791D">
        <w:rPr>
          <w:sz w:val="24"/>
          <w:szCs w:val="24"/>
          <w:lang w:val="sr-Cyrl-CS"/>
        </w:rPr>
        <w:t>Лопандић Светислав, директор</w:t>
      </w:r>
    </w:p>
    <w:p w:rsidR="004C5208" w:rsidRPr="00A4791D" w:rsidRDefault="004C5208" w:rsidP="00A4791D">
      <w:pPr>
        <w:pStyle w:val="NoSpacing"/>
        <w:ind w:left="720"/>
        <w:jc w:val="both"/>
        <w:rPr>
          <w:sz w:val="24"/>
          <w:szCs w:val="24"/>
          <w:lang w:val="sr-Cyrl-CS"/>
        </w:rPr>
      </w:pP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 периоду: 01.01.-31.12</w:t>
      </w:r>
      <w:r w:rsidRPr="00A4791D">
        <w:rPr>
          <w:sz w:val="24"/>
          <w:szCs w:val="24"/>
          <w:lang w:val="sr-Cyrl-CS"/>
        </w:rPr>
        <w:t>.2011 Ј.У. Бања „Двор</w:t>
      </w:r>
      <w:r>
        <w:rPr>
          <w:sz w:val="24"/>
          <w:szCs w:val="24"/>
          <w:lang w:val="sr-Cyrl-CS"/>
        </w:rPr>
        <w:t>ови“ је запошљавала просјечно 87 радника. На дан 31.12.2011. било је 76. радника у сталном радном односу.</w:t>
      </w: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A4791D" w:rsidRDefault="004C5208" w:rsidP="00A4791D">
      <w:pPr>
        <w:pStyle w:val="NoSpacing"/>
        <w:jc w:val="center"/>
        <w:rPr>
          <w:b/>
          <w:bCs/>
          <w:sz w:val="24"/>
          <w:szCs w:val="24"/>
          <w:lang w:val="sr-Cyrl-CS"/>
        </w:rPr>
      </w:pPr>
    </w:p>
    <w:p w:rsidR="004C5208" w:rsidRPr="00BA0EA8" w:rsidRDefault="004C5208" w:rsidP="00BA0EA8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Број стално запослених радника по службама и квалификациона структура на дан</w:t>
      </w:r>
      <w:r>
        <w:rPr>
          <w:b/>
          <w:bCs/>
          <w:sz w:val="28"/>
          <w:szCs w:val="28"/>
          <w:lang w:val="sr-Cyrl-CS"/>
        </w:rPr>
        <w:t xml:space="preserve"> </w:t>
      </w:r>
      <w:r w:rsidRPr="00BA0EA8">
        <w:rPr>
          <w:b/>
          <w:bCs/>
          <w:sz w:val="28"/>
          <w:szCs w:val="28"/>
          <w:lang w:val="sr-Cyrl-CS"/>
        </w:rPr>
        <w:t>31.12.2011 године дата је у следећој табели</w:t>
      </w:r>
    </w:p>
    <w:p w:rsidR="004C5208" w:rsidRPr="00BA0EA8" w:rsidRDefault="004C5208" w:rsidP="00A4791D">
      <w:pPr>
        <w:pStyle w:val="NoSpacing"/>
        <w:rPr>
          <w:b/>
          <w:bCs/>
          <w:sz w:val="28"/>
          <w:szCs w:val="28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1464"/>
        <w:gridCol w:w="1008"/>
        <w:gridCol w:w="1006"/>
        <w:gridCol w:w="1007"/>
        <w:gridCol w:w="1008"/>
        <w:gridCol w:w="1008"/>
        <w:gridCol w:w="1007"/>
        <w:gridCol w:w="1013"/>
      </w:tblGrid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Р.бр.</w:t>
            </w:r>
          </w:p>
        </w:tc>
        <w:tc>
          <w:tcPr>
            <w:tcW w:w="146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Служба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НСС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КВ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ССС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ВКВ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ВШС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ВСС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Укупно</w:t>
            </w:r>
          </w:p>
        </w:tc>
      </w:tr>
      <w:tr w:rsidR="004C5208" w:rsidRPr="00310D9B">
        <w:trPr>
          <w:trHeight w:val="440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Медицински сектор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16</w:t>
            </w:r>
          </w:p>
        </w:tc>
      </w:tr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Рецепција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5</w:t>
            </w:r>
          </w:p>
        </w:tc>
      </w:tr>
      <w:tr w:rsidR="004C5208" w:rsidRPr="00310D9B">
        <w:trPr>
          <w:trHeight w:val="440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Рест“Свети Стефан“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8</w:t>
            </w:r>
          </w:p>
        </w:tc>
      </w:tr>
      <w:tr w:rsidR="004C5208" w:rsidRPr="00310D9B">
        <w:trPr>
          <w:trHeight w:val="213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Рест.“Извор“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7</w:t>
            </w:r>
          </w:p>
        </w:tc>
      </w:tr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Кафе бар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</w:tr>
      <w:tr w:rsidR="004C5208" w:rsidRPr="00310D9B">
        <w:trPr>
          <w:trHeight w:val="440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Базен и објекти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4</w:t>
            </w:r>
          </w:p>
        </w:tc>
      </w:tr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Техн. и служ. одржавања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14</w:t>
            </w:r>
          </w:p>
        </w:tc>
      </w:tr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Спр. и вешерај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10</w:t>
            </w:r>
          </w:p>
        </w:tc>
      </w:tr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1464" w:type="dxa"/>
          </w:tcPr>
          <w:p w:rsidR="004C5208" w:rsidRPr="00310D9B" w:rsidRDefault="004C5208" w:rsidP="00A4791D">
            <w:pPr>
              <w:pStyle w:val="NoSpacing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Управа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---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18"/>
                <w:szCs w:val="18"/>
                <w:lang w:val="sr-Cyrl-CS"/>
              </w:rPr>
            </w:pPr>
            <w:r w:rsidRPr="00310D9B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10</w:t>
            </w:r>
          </w:p>
        </w:tc>
      </w:tr>
      <w:tr w:rsidR="004C5208" w:rsidRPr="00310D9B">
        <w:trPr>
          <w:trHeight w:val="228"/>
        </w:trPr>
        <w:tc>
          <w:tcPr>
            <w:tcW w:w="62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146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УКУПНО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1006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0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00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01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310D9B">
              <w:rPr>
                <w:b/>
                <w:bCs/>
                <w:sz w:val="18"/>
                <w:szCs w:val="18"/>
                <w:lang w:val="sr-Cyrl-CS"/>
              </w:rPr>
              <w:t>76</w:t>
            </w:r>
          </w:p>
        </w:tc>
      </w:tr>
    </w:tbl>
    <w:p w:rsidR="004C5208" w:rsidRPr="00A4791D" w:rsidRDefault="004C5208" w:rsidP="00A4791D">
      <w:pPr>
        <w:pStyle w:val="NoSpacing"/>
        <w:rPr>
          <w:b/>
          <w:bCs/>
          <w:sz w:val="24"/>
          <w:szCs w:val="24"/>
          <w:lang w:val="sr-Cyrl-CS"/>
        </w:rPr>
      </w:pP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За период јануар – децембар исплаћена је нето плата у износу од: 588.649 КМ или просјечна 563 КМ по раднику.</w:t>
      </w: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CB33FF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 xml:space="preserve">Преглед исплаћених плата у </w:t>
      </w:r>
      <w:r>
        <w:rPr>
          <w:b/>
          <w:bCs/>
          <w:sz w:val="28"/>
          <w:szCs w:val="28"/>
          <w:lang w:val="sr-Latn-CS"/>
        </w:rPr>
        <w:t>2010</w:t>
      </w:r>
      <w:r>
        <w:rPr>
          <w:b/>
          <w:bCs/>
          <w:sz w:val="28"/>
          <w:szCs w:val="28"/>
          <w:lang w:val="sr-Cyrl-CS"/>
        </w:rPr>
        <w:t xml:space="preserve"> и</w:t>
      </w:r>
      <w:r>
        <w:rPr>
          <w:b/>
          <w:bCs/>
          <w:sz w:val="28"/>
          <w:szCs w:val="28"/>
          <w:lang w:val="sr-Latn-CS"/>
        </w:rPr>
        <w:t xml:space="preserve"> </w:t>
      </w:r>
      <w:r w:rsidRPr="00BA0EA8">
        <w:rPr>
          <w:b/>
          <w:bCs/>
          <w:sz w:val="28"/>
          <w:szCs w:val="28"/>
          <w:lang w:val="sr-Cyrl-CS"/>
        </w:rPr>
        <w:t>2011 години</w:t>
      </w:r>
    </w:p>
    <w:p w:rsidR="004C5208" w:rsidRPr="00CB33FF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W w:w="102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2"/>
        <w:gridCol w:w="1146"/>
        <w:gridCol w:w="629"/>
        <w:gridCol w:w="622"/>
        <w:gridCol w:w="1016"/>
        <w:gridCol w:w="878"/>
        <w:gridCol w:w="1002"/>
        <w:gridCol w:w="850"/>
        <w:gridCol w:w="878"/>
        <w:gridCol w:w="878"/>
        <w:gridCol w:w="878"/>
        <w:gridCol w:w="878"/>
      </w:tblGrid>
      <w:tr w:rsidR="004C5208" w:rsidRPr="00310D9B">
        <w:trPr>
          <w:trHeight w:val="246"/>
        </w:trPr>
        <w:tc>
          <w:tcPr>
            <w:tcW w:w="582" w:type="dxa"/>
            <w:vMerge w:val="restart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Р.бр</w:t>
            </w:r>
          </w:p>
        </w:tc>
        <w:tc>
          <w:tcPr>
            <w:tcW w:w="1146" w:type="dxa"/>
            <w:vMerge w:val="restart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Мјесец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Бр.радника</w:t>
            </w:r>
          </w:p>
        </w:tc>
        <w:tc>
          <w:tcPr>
            <w:tcW w:w="1912" w:type="dxa"/>
            <w:gridSpan w:val="2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Нето плата</w:t>
            </w:r>
          </w:p>
        </w:tc>
        <w:tc>
          <w:tcPr>
            <w:tcW w:w="1889" w:type="dxa"/>
            <w:gridSpan w:val="2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Порез</w:t>
            </w:r>
          </w:p>
        </w:tc>
        <w:tc>
          <w:tcPr>
            <w:tcW w:w="1756" w:type="dxa"/>
            <w:gridSpan w:val="2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Доприноси</w:t>
            </w:r>
          </w:p>
        </w:tc>
        <w:tc>
          <w:tcPr>
            <w:tcW w:w="1756" w:type="dxa"/>
            <w:gridSpan w:val="2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Бруто плата</w:t>
            </w:r>
          </w:p>
        </w:tc>
      </w:tr>
      <w:tr w:rsidR="004C5208" w:rsidRPr="00310D9B">
        <w:trPr>
          <w:trHeight w:val="246"/>
        </w:trPr>
        <w:tc>
          <w:tcPr>
            <w:tcW w:w="582" w:type="dxa"/>
            <w:vMerge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46" w:type="dxa"/>
            <w:vMerge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2010</w:t>
            </w:r>
          </w:p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</w:tcPr>
          <w:p w:rsidR="004C5208" w:rsidRPr="00310D9B" w:rsidRDefault="004C5208" w:rsidP="00310D9B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2011</w:t>
            </w:r>
          </w:p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2011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Јануар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88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38.606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46.503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1.243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5.167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17.570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25.450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57.420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77.120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Фебруар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88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40.522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46.488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1.298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5.165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18.440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25.441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60.260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77.094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Март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86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82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40.688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46.823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1.310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5.202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18.509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25.624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60.508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77.649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Април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85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83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40.373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46.469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1.318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5.163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18.383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25.430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60.074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77.062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Мај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89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42.735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49.952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1.334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5.550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19.431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27.337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63.501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82.839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Јуни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102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46.584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52.853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1.445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5.872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21.177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28.924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69.207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87.649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Јули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102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97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59.219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55.218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2.936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6.135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27.406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30.219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89.561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91.572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Август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105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97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57.370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55.030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2.790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6.114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26.526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30.116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86.686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91.260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Септембар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98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90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52.940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51.090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2.564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5.677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24.473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27.960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79.978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84.727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Октобар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88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53.490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49.105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2.651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5.456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24.754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26.873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80.896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81.434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Новембар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92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81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51.493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45.395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2.478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5.044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23.797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24.843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77.767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75.282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90</w:t>
            </w: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76</w:t>
            </w: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46.280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43.722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2.226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4.858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21.388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23.927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69.895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0"/>
                <w:szCs w:val="20"/>
                <w:lang w:val="sr-Cyrl-CS"/>
              </w:rPr>
            </w:pPr>
            <w:r w:rsidRPr="00310D9B">
              <w:rPr>
                <w:sz w:val="20"/>
                <w:szCs w:val="20"/>
                <w:lang w:val="sr-Cyrl-CS"/>
              </w:rPr>
              <w:t>72.507</w:t>
            </w:r>
          </w:p>
        </w:tc>
      </w:tr>
      <w:tr w:rsidR="004C5208" w:rsidRPr="00310D9B">
        <w:trPr>
          <w:trHeight w:val="264"/>
        </w:trPr>
        <w:tc>
          <w:tcPr>
            <w:tcW w:w="5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11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</w:tcPr>
          <w:p w:rsidR="004C5208" w:rsidRPr="00310D9B" w:rsidRDefault="004C5208" w:rsidP="00310D9B">
            <w:pPr>
              <w:pStyle w:val="NoSpacing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103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570.302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588.649</w:t>
            </w:r>
          </w:p>
        </w:tc>
        <w:tc>
          <w:tcPr>
            <w:tcW w:w="103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23.596</w:t>
            </w:r>
          </w:p>
        </w:tc>
        <w:tc>
          <w:tcPr>
            <w:tcW w:w="8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65.403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261.855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322.149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855.753</w:t>
            </w:r>
          </w:p>
        </w:tc>
        <w:tc>
          <w:tcPr>
            <w:tcW w:w="87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310D9B">
              <w:rPr>
                <w:b/>
                <w:bCs/>
                <w:sz w:val="20"/>
                <w:szCs w:val="20"/>
                <w:lang w:val="sr-Cyrl-CS"/>
              </w:rPr>
              <w:t>976.201</w:t>
            </w:r>
          </w:p>
        </w:tc>
      </w:tr>
    </w:tbl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  <w:r w:rsidRPr="00CB33FF">
        <w:rPr>
          <w:sz w:val="24"/>
          <w:szCs w:val="24"/>
          <w:lang w:val="sr-Cyrl-CS"/>
        </w:rPr>
        <w:t xml:space="preserve">   Како су крај пословне 2010 обиљежиле незапамћене полаве, логично је да је почетак ове године везан за санацију објеката од последица поплава и враћање исте у функцију, тако да у првом кварталу ове године неки објекти уопште нису радили док су други радили у</w:t>
      </w:r>
      <w:r>
        <w:rPr>
          <w:sz w:val="24"/>
          <w:szCs w:val="24"/>
          <w:lang w:val="sr-Cyrl-CS"/>
        </w:rPr>
        <w:t xml:space="preserve"> импровизованим условима, што ће се свакако одразити на крајњи финансијски резултат.</w:t>
      </w:r>
    </w:p>
    <w:p w:rsidR="004C5208" w:rsidRPr="00CB33FF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CA6B5A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  <w:r w:rsidRPr="00CB33FF">
        <w:rPr>
          <w:sz w:val="24"/>
          <w:szCs w:val="24"/>
          <w:lang w:val="sr-Cyrl-CS"/>
        </w:rPr>
        <w:t xml:space="preserve">     Приземље хотела „Свети Стефан“ стављено у функцију 20.04.201</w:t>
      </w:r>
      <w:r>
        <w:rPr>
          <w:sz w:val="24"/>
          <w:szCs w:val="24"/>
          <w:lang w:val="sr-Cyrl-CS"/>
        </w:rPr>
        <w:t>1 када се у своје просторије враћа рецепција хотела. Тада су оспособљене и све просторије у приземљу за обављање физикалних терапија као и љекарске ординације и мини кафе бар.</w:t>
      </w:r>
    </w:p>
    <w:p w:rsidR="004C5208" w:rsidRPr="009E18D1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  <w:r w:rsidRPr="00CB33FF">
        <w:rPr>
          <w:sz w:val="24"/>
          <w:szCs w:val="24"/>
          <w:lang w:val="sr-Cyrl-CS"/>
        </w:rPr>
        <w:t xml:space="preserve">     Последњи са радом почиње ресторан „Извор“</w:t>
      </w:r>
      <w:r>
        <w:rPr>
          <w:sz w:val="24"/>
          <w:szCs w:val="24"/>
          <w:lang w:val="sr-Cyrl-CS"/>
        </w:rPr>
        <w:t xml:space="preserve"> и то </w:t>
      </w:r>
      <w:r w:rsidRPr="00CB33FF">
        <w:rPr>
          <w:sz w:val="24"/>
          <w:szCs w:val="24"/>
          <w:lang w:val="sr-Cyrl-CS"/>
        </w:rPr>
        <w:t xml:space="preserve"> 13.05.2011 године. </w:t>
      </w: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</w:t>
      </w:r>
      <w:r w:rsidRPr="00CB33FF">
        <w:rPr>
          <w:sz w:val="24"/>
          <w:szCs w:val="24"/>
          <w:lang w:val="sr-Cyrl-CS"/>
        </w:rPr>
        <w:t>Сав тај период сви радници објеката који нису радили имали су пуну плату, а радили су на санацији</w:t>
      </w:r>
      <w:r>
        <w:rPr>
          <w:sz w:val="24"/>
          <w:szCs w:val="24"/>
          <w:lang w:val="sr-Cyrl-CS"/>
        </w:rPr>
        <w:t xml:space="preserve"> објеката</w:t>
      </w:r>
      <w:r w:rsidRPr="00CB33FF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 xml:space="preserve"> или су користи</w:t>
      </w:r>
      <w:r w:rsidRPr="00CB33FF">
        <w:rPr>
          <w:sz w:val="24"/>
          <w:szCs w:val="24"/>
          <w:lang w:val="sr-Cyrl-CS"/>
        </w:rPr>
        <w:t>ли годишње одморе.</w:t>
      </w: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Установа приход стиче првенствено пружањем медицинских услуга у континуитету током цијеле године како амбулантних, тако и услуга стационарне медицинске рехабилитације како физичким лицима, тако и по склопљеним Уговорима са:</w:t>
      </w:r>
    </w:p>
    <w:p w:rsidR="004C5208" w:rsidRDefault="004C5208" w:rsidP="00CB33FF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Фондом здравственог осигурања Р.С.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Министарством рада и борачко инвалидске заштите 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Фондом здравственог осигурања Брчко Дистрикта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РиТе Угљевик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пензионера Р.С.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Синдикатом телекома Р.С.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Фондом солидарности Добој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цивилних жртава рата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РВИ Брчко Дистрикта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Удружењем пензионера Брчко Дистрикта</w:t>
      </w:r>
    </w:p>
    <w:p w:rsidR="004C5208" w:rsidRDefault="004C5208" w:rsidP="00703CA7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703CA7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Значајну ставку у оствареним приходима представљају и приходи од туристичко – угоститељске дјелатности: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Приход од услуга смјештаја у дијелу хотела „Свети Стефан“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Приход од базена са претећим угоститељским објектима</w:t>
      </w:r>
    </w:p>
    <w:p w:rsidR="004C5208" w:rsidRDefault="004C5208" w:rsidP="00703CA7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Приходи од продаје производа и услуга од ресторана „Извор“ и ресторана у хотелу „Свети Стефан“</w:t>
      </w:r>
    </w:p>
    <w:p w:rsidR="004C5208" w:rsidRDefault="004C5208" w:rsidP="00703CA7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</w:t>
      </w:r>
    </w:p>
    <w:p w:rsidR="004C5208" w:rsidRDefault="004C5208" w:rsidP="00703CA7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Извјештај о оствареним резултатима у пословању тј. Приходима и расходима те стању имовине у периоду: 01.01-31.12.2011 годинеу Ј.У. Бањи „Дворови“састављен је на основу података из Биланса успјеха и Биланса стања као и података за праћење рада запослених.</w:t>
      </w:r>
    </w:p>
    <w:p w:rsidR="004C5208" w:rsidRDefault="004C5208" w:rsidP="00703CA7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C06CF0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Биланс успјеха</w:t>
      </w:r>
    </w:p>
    <w:p w:rsidR="004C5208" w:rsidRDefault="004C5208" w:rsidP="00703CA7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031"/>
        <w:gridCol w:w="1924"/>
        <w:gridCol w:w="1924"/>
        <w:gridCol w:w="1925"/>
      </w:tblGrid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Елементи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31.12.2010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31.12.2011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Индех 4/3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Прих. од продаје учинака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1.303.201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1.077.337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82,67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Приход од продаје робе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151.036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132.821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87,94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Прих.од активних учинака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6.637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2.595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39,10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Остали пословни приходи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301.284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251.744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83,56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Пословни приходи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1.762.122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1.464.497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83,11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Ост. прих. ( напл.отп.пот)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69.957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36.035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51,51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Финансијски приходи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198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30,30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Cyrl-CS"/>
              </w:rPr>
              <w:t>УКУПНИ ПРИХ. ( I+II+III )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1.832.277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1.500.592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81,90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Наб.вриј. прод.робе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68.140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64.628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94,85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Трошкови материјала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268.150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251.754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93,89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Тр. зарада и накн.зарада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914.319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1.042.861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114,06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Тр. произв.услуга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106.459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126.881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119,18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Трошкови резервисања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Трошкови амортизације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120.545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119.905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99,47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Нематеријални трошкови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45.919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50.512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110,00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Трошкови пореза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57.301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46.176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80,58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Расх. редовне дјелатности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1.580.833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1.702.717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107,71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Latn-CS"/>
              </w:rPr>
              <w:t>Остали расходи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188.975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4.547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Финансијски расходи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15.693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15.601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105,79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IV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Расх.по осн. пр. реп.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2.905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V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Добитак прије оп.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46.776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VI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Порезни рас.пер.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5.309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VII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НЕТО ДОБИТАК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41.467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8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VII</w:t>
            </w:r>
          </w:p>
        </w:tc>
        <w:tc>
          <w:tcPr>
            <w:tcW w:w="3031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 xml:space="preserve">НЕТО </w:t>
            </w:r>
            <w:r w:rsidRPr="00310D9B">
              <w:rPr>
                <w:b/>
                <w:bCs/>
                <w:sz w:val="24"/>
                <w:szCs w:val="24"/>
                <w:lang w:val="sr-Cyrl-CS"/>
              </w:rPr>
              <w:t>ГУБИТАК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226.175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---</w:t>
            </w:r>
          </w:p>
        </w:tc>
      </w:tr>
    </w:tbl>
    <w:p w:rsidR="004C5208" w:rsidRPr="00CA6B5A" w:rsidRDefault="004C5208" w:rsidP="00A4791D">
      <w:pPr>
        <w:pStyle w:val="NoSpacing"/>
        <w:jc w:val="both"/>
        <w:rPr>
          <w:b/>
          <w:bCs/>
          <w:sz w:val="24"/>
          <w:szCs w:val="24"/>
          <w:lang w:val="sr-Cyrl-CS"/>
        </w:rPr>
      </w:pP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Анализирајући табелу биланса успјеха долазимо до података да су укупни приходи у 2011 мањи за </w:t>
      </w:r>
      <w:r>
        <w:rPr>
          <w:sz w:val="24"/>
          <w:szCs w:val="24"/>
          <w:lang w:val="sr-Latn-CS"/>
        </w:rPr>
        <w:t>cc</w:t>
      </w:r>
      <w:r>
        <w:rPr>
          <w:sz w:val="24"/>
          <w:szCs w:val="24"/>
          <w:lang w:val="sr-Cyrl-CS"/>
        </w:rPr>
        <w:t xml:space="preserve">а 18 %. у односу на исте у 2010 години. </w:t>
      </w: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</w:t>
      </w: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Највећи дио прихода </w:t>
      </w:r>
      <w:r>
        <w:rPr>
          <w:sz w:val="24"/>
          <w:szCs w:val="24"/>
          <w:lang w:val="sr-Latn-CS"/>
        </w:rPr>
        <w:t xml:space="preserve">cca – 72 % </w:t>
      </w:r>
      <w:r>
        <w:rPr>
          <w:sz w:val="24"/>
          <w:szCs w:val="24"/>
          <w:lang w:val="sr-Cyrl-CS"/>
        </w:rPr>
        <w:t>чине приходи од продаје услуга , док приходи од продаје роба са 8,9 % учествују у укупним приходима.</w:t>
      </w:r>
    </w:p>
    <w:p w:rsidR="004C5208" w:rsidRPr="00A90E40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Пословни приходи као најзначајнија ставка у укупним приходима мањи су за </w:t>
      </w:r>
      <w:r>
        <w:rPr>
          <w:sz w:val="24"/>
          <w:szCs w:val="24"/>
          <w:lang w:val="sr-Latn-CS"/>
        </w:rPr>
        <w:t xml:space="preserve">ccа 17 %. Основни разлози значајног смањења прихода су: </w:t>
      </w:r>
    </w:p>
    <w:p w:rsidR="004C5208" w:rsidRPr="00CA6B5A" w:rsidRDefault="004C5208" w:rsidP="00A4791D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E81094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Општа економска криза која резултира смањеном куповном моћи грађана и самим тим мањом потражњом за услугама које ми продајемо пошто су приоритет у потрошњи основне животне намјернице, те режијски трошкови</w:t>
      </w:r>
    </w:p>
    <w:p w:rsidR="004C5208" w:rsidRDefault="004C5208" w:rsidP="00074AC6">
      <w:pPr>
        <w:pStyle w:val="NoSpacing"/>
        <w:ind w:left="720"/>
        <w:jc w:val="both"/>
        <w:rPr>
          <w:sz w:val="24"/>
          <w:szCs w:val="24"/>
          <w:lang w:val="sr-Cyrl-CS"/>
        </w:rPr>
      </w:pPr>
    </w:p>
    <w:p w:rsidR="004C5208" w:rsidRDefault="004C5208" w:rsidP="00E81094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Због санације објеката од последица децембарских поплава како је већ речено са пуним капацитетима кренуло се тек од маја 2011 године.</w:t>
      </w:r>
    </w:p>
    <w:p w:rsidR="004C5208" w:rsidRPr="00B1671F" w:rsidRDefault="004C5208" w:rsidP="00B1671F">
      <w:pPr>
        <w:pStyle w:val="NoSpacing"/>
        <w:rPr>
          <w:lang w:val="sr-Cyrl-CS"/>
        </w:rPr>
      </w:pPr>
    </w:p>
    <w:p w:rsidR="004C5208" w:rsidRDefault="004C5208" w:rsidP="00B1671F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Значајно смањење уговореног износа услуга амбулантне физикалне рехабилитације за цца 165.000 КМ, због отварања Центра Базичне рехабилитације у склопу Дома Здравља Бијељина и преузимања дијела нашег посла за 1 тим иако смо ми од 2002 године уговарали посао за два тима на бази броја становника за подручје регије Бијељина. </w:t>
      </w:r>
    </w:p>
    <w:p w:rsidR="004C5208" w:rsidRDefault="004C5208" w:rsidP="00B1671F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E81094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 је Фонд здравственог осигурања Р.С. једностраном одлуком у децембру 2011 године смањио  износе Уговорених средстава свим здравственим установама за 10%  што на нивоу Установе износи цца-40.000 КМ.  Свјесни ситуације у којој се налази комплетна држава, па и Ф.З.О. Р.С. а у име будуће сарадње наведену корекцију Уговора морали смо да прихватимо.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Што се тиче укупних расхода они су  за cca 3% мањи у односу на 2010 годину.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Расходи редовне дјелатности су cca-8% већи односу на претходну годину.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Најзначајнију ставку у укупним расходима чине трошкови зарада од </w:t>
      </w:r>
      <w:r>
        <w:rPr>
          <w:sz w:val="24"/>
          <w:szCs w:val="24"/>
          <w:lang w:val="sr-Latn-CS"/>
        </w:rPr>
        <w:t>cca 60%</w:t>
      </w:r>
      <w:r>
        <w:rPr>
          <w:sz w:val="24"/>
          <w:szCs w:val="24"/>
          <w:lang w:val="sr-Cyrl-CS"/>
        </w:rPr>
        <w:t xml:space="preserve"> укупних трошкова или 71,53 % пословних прихода и они су за 14 % већи у односу на 2010 из разлога што је дошло до повећања обавеза на исте, преласком обрачуна доприноса на бруто основицу и укидањем неопорезивог износа код пореза, што је повећало износ плаћених пореза и доприноса на годишњем нивоу цца-102.000 више у 2011 у односу на 2010 годину.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2011 није било повећања нето плата. Како је очигледно дошло до значајног смањења прихода уз симболично мање трошкове у односу на 2010 годину крајњи резултат у билансу успјеха је губитак у износу од: 226.175 КМ  који ће највјероватније бити покривен из акумулиране добити претходне три године у изосу од: 267.315 КМ. 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573692" w:rsidRDefault="004C5208" w:rsidP="00324C57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573692">
        <w:rPr>
          <w:b/>
          <w:bCs/>
          <w:sz w:val="28"/>
          <w:szCs w:val="28"/>
          <w:lang w:val="sr-Cyrl-CS"/>
        </w:rPr>
        <w:t>Биланс стања и структура средстава</w:t>
      </w:r>
    </w:p>
    <w:p w:rsidR="004C5208" w:rsidRPr="00573692" w:rsidRDefault="004C5208" w:rsidP="00573692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573692">
        <w:rPr>
          <w:b/>
          <w:bCs/>
          <w:sz w:val="28"/>
          <w:szCs w:val="28"/>
          <w:lang w:val="sr-Cyrl-CS"/>
        </w:rPr>
        <w:t>на дан 31.12.2011 године.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977"/>
        <w:gridCol w:w="1417"/>
        <w:gridCol w:w="1559"/>
        <w:gridCol w:w="1105"/>
        <w:gridCol w:w="1604"/>
      </w:tblGrid>
      <w:tr w:rsidR="004C5208" w:rsidRPr="00310D9B">
        <w:trPr>
          <w:trHeight w:val="596"/>
        </w:trPr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Позиција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Стање 31.12.2010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Стање 31.12.2011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%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Индех 4/3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Нематеријална улагања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251.876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251.876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3,90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Земљиште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2.662.557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2.662.557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40,90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Грађевински објекти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3.156.096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3.107.214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47,70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98,45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Постројења и опрема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95.787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106.231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1,60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110,90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Аванси и нека.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72.944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72.944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Стална имовина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6.239.260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6.201.051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95,20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99,39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Залихе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15.088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15.276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0,20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101,25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Купци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265.658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215.426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3,30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81,09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Друга потраживања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103.171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67.382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1,00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65,50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Крат. кредити у земљи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2.473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2.662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107,64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Готовина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111.508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1.897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Акт.врем.разграничења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6.932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6.668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96,19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  <w:r w:rsidRPr="00310D9B"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Текућа имовина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504.830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309.311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4,80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61,27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Пословна актива ( I+II )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6.744.090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6.510.362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96,50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Основни капитал-држав.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408.299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408.299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6,30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Ревалоризац. резерве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954.490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954.490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14,70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Резерве из добитка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4.438.337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4.438.337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68,20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Нерас. доб.из ран година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225.849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267.315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100,00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Добитак тек.године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41.467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Губитак текуће године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226.115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3,90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Капитал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6.068.442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5.842.266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89,70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96,27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Дугорочни кредити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57.533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14.697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0,20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25,55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Остале дугорочне обавезе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13.700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5.516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40,26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Кратк. финнс. обавезе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46.427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71.899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154,86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Примљени аванси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10.000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3.880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38,80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Добављачи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156.295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196.837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3,00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125,94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Обав. за зар.и накн.зарада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336.376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354.636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5,40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105,43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Друге обавезе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12.612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13.919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0,20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110,36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Порез на додату вриј.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1.279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748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58,48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Остав.за ост.пор,и допр.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37.834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1.102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2,91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Обав. за порез на доходак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2.813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Пас.врем.разграничења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779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4.862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0,10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---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Обавезе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676.648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658.095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10,30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98,74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2977" w:type="dxa"/>
          </w:tcPr>
          <w:p w:rsidR="004C5208" w:rsidRPr="00310D9B" w:rsidRDefault="004C5208" w:rsidP="00310D9B">
            <w:pPr>
              <w:pStyle w:val="NoSpacing"/>
              <w:jc w:val="both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Пасива ( I+II )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6.744.090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6.510.362</w:t>
            </w:r>
          </w:p>
        </w:tc>
        <w:tc>
          <w:tcPr>
            <w:tcW w:w="110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100%</w:t>
            </w:r>
          </w:p>
        </w:tc>
        <w:tc>
          <w:tcPr>
            <w:tcW w:w="160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96,53</w:t>
            </w:r>
          </w:p>
        </w:tc>
      </w:tr>
    </w:tbl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 Анализирајући табелу биланса стања </w:t>
      </w:r>
      <w:r>
        <w:rPr>
          <w:sz w:val="24"/>
          <w:szCs w:val="24"/>
          <w:lang w:val="sr-Cyrl-CS"/>
        </w:rPr>
        <w:t>закључујемо да у структури сталних средстава највећу ставку чине стална имовина са 95,29 % док текућа имовина чини преосталих 4,80 % активе.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структури пасиве учешће капитала је 89,70 % док обавезе чине 10,30 % структуре пасиве. Дугорочне обавезе чине 3 % укупних обавеза, док су краткорочне преосталих 97 %.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структури краткорочних обавеза највећу ставку исказано збирно чине неизмирене обавезе за зараде, те порезе и доприносе на исте од 53,10 %, а чине их обавезе за неисплаћене бруто зтв. старе плате из 2000,2001,2002 и 2003 године и рјешаваће се договорно унутар Установе, те обавезе за плату за децембар 2011 године која је исплаћена у јануару 2012. године, док су износи осталих ктраткорочних обавеза прихватљиви и не угрожавају ликвидност Установе. Значајно је поменути да без обзира на губитак у билансу за 2011 годину није дошло до повећања укупних обавеза, нити је угрожена ликвидност у пословању.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C55252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Подаци о физичком обиму пружених услуга</w:t>
      </w:r>
    </w:p>
    <w:p w:rsidR="004C5208" w:rsidRPr="00BA0EA8" w:rsidRDefault="004C5208" w:rsidP="00C55252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Број реализованих Б.О. дана, амбулантних прегледа</w:t>
      </w:r>
    </w:p>
    <w:p w:rsidR="004C5208" w:rsidRPr="00BA0EA8" w:rsidRDefault="004C5208" w:rsidP="00C55252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и третмана по годинама</w:t>
      </w:r>
    </w:p>
    <w:p w:rsidR="004C5208" w:rsidRPr="00BA0EA8" w:rsidRDefault="004C5208" w:rsidP="00C55252">
      <w:pPr>
        <w:pStyle w:val="NoSpacing"/>
        <w:jc w:val="center"/>
        <w:rPr>
          <w:b/>
          <w:bCs/>
          <w:sz w:val="28"/>
          <w:szCs w:val="28"/>
          <w:lang w:val="sr-Cyrl-CS"/>
        </w:rPr>
      </w:pPr>
    </w:p>
    <w:p w:rsidR="004C5208" w:rsidRPr="00C55252" w:rsidRDefault="004C5208" w:rsidP="00C55252">
      <w:pPr>
        <w:pStyle w:val="NoSpacing"/>
        <w:jc w:val="center"/>
        <w:rPr>
          <w:b/>
          <w:bCs/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693"/>
        <w:gridCol w:w="2120"/>
        <w:gridCol w:w="1924"/>
        <w:gridCol w:w="1925"/>
      </w:tblGrid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269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120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Број оств.БО дана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Бр. амбул.прег.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Број пац. на амб.третману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69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2009</w:t>
            </w:r>
          </w:p>
        </w:tc>
        <w:tc>
          <w:tcPr>
            <w:tcW w:w="212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10.229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6.643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2.998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69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2010</w:t>
            </w:r>
          </w:p>
        </w:tc>
        <w:tc>
          <w:tcPr>
            <w:tcW w:w="212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11.613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6.453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2.951</w:t>
            </w:r>
          </w:p>
        </w:tc>
      </w:tr>
      <w:tr w:rsidR="004C5208" w:rsidRPr="00310D9B">
        <w:tc>
          <w:tcPr>
            <w:tcW w:w="959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693" w:type="dxa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212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9.721</w:t>
            </w:r>
          </w:p>
        </w:tc>
        <w:tc>
          <w:tcPr>
            <w:tcW w:w="192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6.201</w:t>
            </w:r>
          </w:p>
        </w:tc>
        <w:tc>
          <w:tcPr>
            <w:tcW w:w="1925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2.469</w:t>
            </w:r>
          </w:p>
        </w:tc>
      </w:tr>
    </w:tbl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</w:p>
    <w:p w:rsidR="004C5208" w:rsidRPr="00573692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</w:t>
      </w:r>
      <w:r>
        <w:rPr>
          <w:sz w:val="24"/>
          <w:szCs w:val="24"/>
          <w:lang w:val="sr-Latn-CS"/>
        </w:rPr>
        <w:t>K</w:t>
      </w:r>
      <w:r>
        <w:rPr>
          <w:sz w:val="24"/>
          <w:szCs w:val="24"/>
          <w:lang w:val="sr-Cyrl-CS"/>
        </w:rPr>
        <w:t>ако се из наведене табеле види у 2011 години дошло је до смањења како  броја Б.О. дана ,  тако и амбулантних прегледа и броја  пацијената на  амбулантном прегледу.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Велики проблем за Установу свакако представља и немогућност наплате свих пружених услуга по датим упутницама од Фонда здравственог осигурања Р.С. У наредној табели дајемо преглед Уговорених, пружених и наплаћених услуга амбулантне физикалне рехабилитације са Фондом Здравственог осигурања Р.С.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C44666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Преглед уговорених, наплаћених и пружених услуга</w:t>
      </w:r>
    </w:p>
    <w:p w:rsidR="004C5208" w:rsidRPr="00BA0EA8" w:rsidRDefault="004C5208" w:rsidP="00C44666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амбулантне физикалне рехабилитације са Ф.З.О. Р.С.</w:t>
      </w:r>
    </w:p>
    <w:p w:rsidR="004C5208" w:rsidRPr="00C44666" w:rsidRDefault="004C5208" w:rsidP="00C44666">
      <w:pPr>
        <w:pStyle w:val="NoSpacing"/>
        <w:jc w:val="center"/>
        <w:rPr>
          <w:b/>
          <w:bCs/>
          <w:sz w:val="24"/>
          <w:szCs w:val="24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83"/>
        <w:gridCol w:w="1860"/>
        <w:gridCol w:w="2673"/>
        <w:gridCol w:w="1923"/>
        <w:gridCol w:w="2082"/>
      </w:tblGrid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Угов. и наплаћено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Вриј.извр.услуга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Вриј.беспл.пр.усл.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2002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111.000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169.217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58.217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2003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111.000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120.674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9.674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2004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102.200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156.092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53.892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2005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132.900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158.855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25.955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2006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192.259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237.096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43.837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2007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222.248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337.697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115.449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2008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244.473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385.894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141.421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2009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335.664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432.210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96.549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2010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322.320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457.756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135.436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175.952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382.064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206.112</w:t>
            </w:r>
          </w:p>
        </w:tc>
      </w:tr>
      <w:tr w:rsidR="004C5208" w:rsidRPr="00310D9B">
        <w:tc>
          <w:tcPr>
            <w:tcW w:w="108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</w:p>
        </w:tc>
        <w:tc>
          <w:tcPr>
            <w:tcW w:w="1860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Cyrl-CS"/>
              </w:rPr>
            </w:pPr>
            <w:r w:rsidRPr="00310D9B">
              <w:rPr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267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1.950.016</w:t>
            </w:r>
          </w:p>
        </w:tc>
        <w:tc>
          <w:tcPr>
            <w:tcW w:w="192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2.837.555</w:t>
            </w:r>
          </w:p>
        </w:tc>
        <w:tc>
          <w:tcPr>
            <w:tcW w:w="2082" w:type="dxa"/>
          </w:tcPr>
          <w:p w:rsidR="004C5208" w:rsidRPr="00310D9B" w:rsidRDefault="004C5208" w:rsidP="00310D9B">
            <w:pPr>
              <w:pStyle w:val="NoSpacing"/>
              <w:jc w:val="right"/>
              <w:rPr>
                <w:b/>
                <w:bCs/>
                <w:sz w:val="24"/>
                <w:szCs w:val="24"/>
                <w:lang w:val="sr-Latn-CS"/>
              </w:rPr>
            </w:pPr>
            <w:r w:rsidRPr="00310D9B">
              <w:rPr>
                <w:b/>
                <w:bCs/>
                <w:sz w:val="24"/>
                <w:szCs w:val="24"/>
                <w:lang w:val="sr-Latn-CS"/>
              </w:rPr>
              <w:t>886.539</w:t>
            </w:r>
          </w:p>
        </w:tc>
      </w:tr>
    </w:tbl>
    <w:p w:rsidR="004C5208" w:rsidRDefault="004C5208" w:rsidP="00C55252">
      <w:pPr>
        <w:pStyle w:val="NoSpacing"/>
        <w:jc w:val="right"/>
        <w:rPr>
          <w:sz w:val="24"/>
          <w:szCs w:val="24"/>
          <w:lang w:val="sr-Latn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Из наведене табеле се види да смо током свих ових година пружали знатно више услуга у односу на Уговорене и наплаћене, а због поменуте корекције Уговора за – 10% у децембру 2011 за ову годину смо 124 % премашили лимит уговорених услуга Ц.Б.Р., а још драстичнија ситуација је код стационарног лијечења гдје је ниво признатих услуга за cca </w:t>
      </w:r>
      <w:r w:rsidRPr="00CD11E7">
        <w:rPr>
          <w:b/>
          <w:bCs/>
          <w:sz w:val="24"/>
          <w:szCs w:val="24"/>
          <w:lang w:val="sr-Cyrl-CS"/>
        </w:rPr>
        <w:t>150.000 КМ</w:t>
      </w:r>
      <w:r>
        <w:rPr>
          <w:sz w:val="24"/>
          <w:szCs w:val="24"/>
          <w:lang w:val="sr-Cyrl-CS"/>
        </w:rPr>
        <w:t xml:space="preserve">  мањи од износа пружених услуга,а те услуге имајући у виду да пацијенти леже и хране се у Установи логично производе знатно веће трошкове.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A5770B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Приказ физичког обима пружених услуга по годинама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892"/>
        <w:gridCol w:w="1076"/>
        <w:gridCol w:w="1291"/>
        <w:gridCol w:w="924"/>
        <w:gridCol w:w="932"/>
        <w:gridCol w:w="937"/>
        <w:gridCol w:w="929"/>
        <w:gridCol w:w="1029"/>
        <w:gridCol w:w="936"/>
      </w:tblGrid>
      <w:tr w:rsidR="004C5208" w:rsidRPr="00310D9B">
        <w:tc>
          <w:tcPr>
            <w:tcW w:w="675" w:type="dxa"/>
            <w:vMerge w:val="restart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Р.бр.</w:t>
            </w:r>
          </w:p>
        </w:tc>
        <w:tc>
          <w:tcPr>
            <w:tcW w:w="892" w:type="dxa"/>
            <w:vMerge w:val="restart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Година</w:t>
            </w:r>
          </w:p>
        </w:tc>
        <w:tc>
          <w:tcPr>
            <w:tcW w:w="2409" w:type="dxa"/>
            <w:gridSpan w:val="2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Тур. пансион</w:t>
            </w:r>
          </w:p>
        </w:tc>
        <w:tc>
          <w:tcPr>
            <w:tcW w:w="1873" w:type="dxa"/>
            <w:gridSpan w:val="2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БО дан</w:t>
            </w:r>
          </w:p>
        </w:tc>
        <w:tc>
          <w:tcPr>
            <w:tcW w:w="1887" w:type="dxa"/>
            <w:gridSpan w:val="2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Прол. ноћење</w:t>
            </w:r>
          </w:p>
        </w:tc>
        <w:tc>
          <w:tcPr>
            <w:tcW w:w="1885" w:type="dxa"/>
            <w:gridSpan w:val="2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Укупно</w:t>
            </w:r>
          </w:p>
        </w:tc>
      </w:tr>
      <w:tr w:rsidR="004C5208" w:rsidRPr="00310D9B">
        <w:tc>
          <w:tcPr>
            <w:tcW w:w="675" w:type="dxa"/>
            <w:vMerge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892" w:type="dxa"/>
            <w:vMerge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</w:p>
        </w:tc>
        <w:tc>
          <w:tcPr>
            <w:tcW w:w="1093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Посј.</w:t>
            </w:r>
          </w:p>
        </w:tc>
        <w:tc>
          <w:tcPr>
            <w:tcW w:w="1316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Ноћ.</w:t>
            </w:r>
          </w:p>
        </w:tc>
        <w:tc>
          <w:tcPr>
            <w:tcW w:w="937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Пац.</w:t>
            </w:r>
          </w:p>
        </w:tc>
        <w:tc>
          <w:tcPr>
            <w:tcW w:w="936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БО</w:t>
            </w:r>
          </w:p>
        </w:tc>
        <w:tc>
          <w:tcPr>
            <w:tcW w:w="946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Гости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Ноћ.</w:t>
            </w:r>
          </w:p>
        </w:tc>
        <w:tc>
          <w:tcPr>
            <w:tcW w:w="944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Гост/пац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ноћ.</w:t>
            </w:r>
          </w:p>
        </w:tc>
      </w:tr>
      <w:tr w:rsidR="004C5208" w:rsidRPr="00310D9B">
        <w:tc>
          <w:tcPr>
            <w:tcW w:w="675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1.</w:t>
            </w:r>
          </w:p>
        </w:tc>
        <w:tc>
          <w:tcPr>
            <w:tcW w:w="892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2009</w:t>
            </w:r>
          </w:p>
        </w:tc>
        <w:tc>
          <w:tcPr>
            <w:tcW w:w="109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857</w:t>
            </w:r>
          </w:p>
        </w:tc>
        <w:tc>
          <w:tcPr>
            <w:tcW w:w="131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1933</w:t>
            </w:r>
          </w:p>
        </w:tc>
        <w:tc>
          <w:tcPr>
            <w:tcW w:w="93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877</w:t>
            </w:r>
          </w:p>
        </w:tc>
        <w:tc>
          <w:tcPr>
            <w:tcW w:w="93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10.229</w:t>
            </w:r>
          </w:p>
        </w:tc>
        <w:tc>
          <w:tcPr>
            <w:tcW w:w="94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358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560</w:t>
            </w:r>
          </w:p>
        </w:tc>
        <w:tc>
          <w:tcPr>
            <w:tcW w:w="94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2.092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12.722</w:t>
            </w:r>
          </w:p>
        </w:tc>
      </w:tr>
      <w:tr w:rsidR="004C5208" w:rsidRPr="00310D9B">
        <w:tc>
          <w:tcPr>
            <w:tcW w:w="675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2.</w:t>
            </w:r>
          </w:p>
        </w:tc>
        <w:tc>
          <w:tcPr>
            <w:tcW w:w="892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2010</w:t>
            </w:r>
          </w:p>
        </w:tc>
        <w:tc>
          <w:tcPr>
            <w:tcW w:w="109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624</w:t>
            </w:r>
          </w:p>
        </w:tc>
        <w:tc>
          <w:tcPr>
            <w:tcW w:w="131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1.254</w:t>
            </w:r>
          </w:p>
        </w:tc>
        <w:tc>
          <w:tcPr>
            <w:tcW w:w="93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895</w:t>
            </w:r>
          </w:p>
        </w:tc>
        <w:tc>
          <w:tcPr>
            <w:tcW w:w="93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11.613</w:t>
            </w:r>
          </w:p>
        </w:tc>
        <w:tc>
          <w:tcPr>
            <w:tcW w:w="94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401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658</w:t>
            </w:r>
          </w:p>
        </w:tc>
        <w:tc>
          <w:tcPr>
            <w:tcW w:w="94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1.920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13.525</w:t>
            </w:r>
          </w:p>
        </w:tc>
      </w:tr>
      <w:tr w:rsidR="004C5208" w:rsidRPr="00310D9B">
        <w:tc>
          <w:tcPr>
            <w:tcW w:w="675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3.</w:t>
            </w:r>
          </w:p>
        </w:tc>
        <w:tc>
          <w:tcPr>
            <w:tcW w:w="892" w:type="dxa"/>
          </w:tcPr>
          <w:p w:rsidR="004C5208" w:rsidRPr="00310D9B" w:rsidRDefault="004C5208" w:rsidP="00310D9B">
            <w:pPr>
              <w:pStyle w:val="NoSpacing"/>
              <w:jc w:val="both"/>
              <w:rPr>
                <w:lang w:val="sr-Cyrl-CS"/>
              </w:rPr>
            </w:pPr>
            <w:r w:rsidRPr="00310D9B">
              <w:rPr>
                <w:lang w:val="sr-Cyrl-CS"/>
              </w:rPr>
              <w:t>2011</w:t>
            </w:r>
          </w:p>
        </w:tc>
        <w:tc>
          <w:tcPr>
            <w:tcW w:w="109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327</w:t>
            </w:r>
          </w:p>
        </w:tc>
        <w:tc>
          <w:tcPr>
            <w:tcW w:w="131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753</w:t>
            </w:r>
          </w:p>
        </w:tc>
        <w:tc>
          <w:tcPr>
            <w:tcW w:w="93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750</w:t>
            </w:r>
          </w:p>
        </w:tc>
        <w:tc>
          <w:tcPr>
            <w:tcW w:w="93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9.721</w:t>
            </w:r>
          </w:p>
        </w:tc>
        <w:tc>
          <w:tcPr>
            <w:tcW w:w="946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186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278</w:t>
            </w:r>
          </w:p>
        </w:tc>
        <w:tc>
          <w:tcPr>
            <w:tcW w:w="944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1.396</w:t>
            </w:r>
          </w:p>
        </w:tc>
        <w:tc>
          <w:tcPr>
            <w:tcW w:w="941" w:type="dxa"/>
          </w:tcPr>
          <w:p w:rsidR="004C5208" w:rsidRPr="00310D9B" w:rsidRDefault="004C5208" w:rsidP="00310D9B">
            <w:pPr>
              <w:pStyle w:val="NoSpacing"/>
              <w:jc w:val="right"/>
              <w:rPr>
                <w:lang w:val="sr-Cyrl-CS"/>
              </w:rPr>
            </w:pPr>
            <w:r w:rsidRPr="00310D9B">
              <w:rPr>
                <w:lang w:val="sr-Cyrl-CS"/>
              </w:rPr>
              <w:t>12.614</w:t>
            </w:r>
          </w:p>
        </w:tc>
      </w:tr>
    </w:tbl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 приказане табеле се види да је смањен физички обим свих услуга.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C320D3">
      <w:pPr>
        <w:pStyle w:val="NoSpacing"/>
        <w:jc w:val="center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>Преглед продатих улазница за базен и приход од базена по годинама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6"/>
        <w:gridCol w:w="992"/>
        <w:gridCol w:w="1547"/>
        <w:gridCol w:w="1407"/>
        <w:gridCol w:w="1359"/>
        <w:gridCol w:w="1200"/>
        <w:gridCol w:w="1199"/>
        <w:gridCol w:w="1201"/>
      </w:tblGrid>
      <w:tr w:rsidR="004C5208" w:rsidRPr="00310D9B">
        <w:tc>
          <w:tcPr>
            <w:tcW w:w="675" w:type="dxa"/>
            <w:vMerge w:val="restart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993" w:type="dxa"/>
            <w:vMerge w:val="restart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4344" w:type="dxa"/>
            <w:gridSpan w:val="3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Улазнице</w:t>
            </w:r>
          </w:p>
        </w:tc>
        <w:tc>
          <w:tcPr>
            <w:tcW w:w="3609" w:type="dxa"/>
            <w:gridSpan w:val="3"/>
          </w:tcPr>
          <w:p w:rsidR="004C5208" w:rsidRPr="00310D9B" w:rsidRDefault="004C5208" w:rsidP="00310D9B">
            <w:pPr>
              <w:pStyle w:val="NoSpacing"/>
              <w:jc w:val="center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Приход</w:t>
            </w:r>
          </w:p>
        </w:tc>
      </w:tr>
      <w:tr w:rsidR="004C5208" w:rsidRPr="00310D9B">
        <w:tc>
          <w:tcPr>
            <w:tcW w:w="675" w:type="dxa"/>
            <w:vMerge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993" w:type="dxa"/>
            <w:vMerge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Ул.за одр.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Ул.за дјецу</w:t>
            </w:r>
          </w:p>
        </w:tc>
        <w:tc>
          <w:tcPr>
            <w:tcW w:w="1368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Ук. улазн.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Прих.ул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 од прат. сад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Укупни</w:t>
            </w:r>
          </w:p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приходи</w:t>
            </w:r>
          </w:p>
        </w:tc>
      </w:tr>
      <w:tr w:rsidR="004C5208" w:rsidRPr="00310D9B">
        <w:tc>
          <w:tcPr>
            <w:tcW w:w="675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99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2009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45.089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22.011</w:t>
            </w:r>
          </w:p>
        </w:tc>
        <w:tc>
          <w:tcPr>
            <w:tcW w:w="136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67.090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226.718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136.253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362.971</w:t>
            </w:r>
          </w:p>
        </w:tc>
      </w:tr>
      <w:tr w:rsidR="004C5208" w:rsidRPr="00310D9B">
        <w:tc>
          <w:tcPr>
            <w:tcW w:w="675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99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2010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49.012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17.838</w:t>
            </w:r>
          </w:p>
        </w:tc>
        <w:tc>
          <w:tcPr>
            <w:tcW w:w="136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66.850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224.833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124.708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349.541</w:t>
            </w:r>
          </w:p>
        </w:tc>
      </w:tr>
      <w:tr w:rsidR="004C5208" w:rsidRPr="00310D9B">
        <w:tc>
          <w:tcPr>
            <w:tcW w:w="675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93" w:type="dxa"/>
          </w:tcPr>
          <w:p w:rsidR="004C5208" w:rsidRPr="00310D9B" w:rsidRDefault="004C5208" w:rsidP="00310D9B">
            <w:pPr>
              <w:pStyle w:val="NoSpacing"/>
              <w:jc w:val="both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2011</w:t>
            </w:r>
          </w:p>
        </w:tc>
        <w:tc>
          <w:tcPr>
            <w:tcW w:w="1559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45.358</w:t>
            </w:r>
          </w:p>
        </w:tc>
        <w:tc>
          <w:tcPr>
            <w:tcW w:w="1417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15.517</w:t>
            </w:r>
          </w:p>
        </w:tc>
        <w:tc>
          <w:tcPr>
            <w:tcW w:w="1368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60.875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264.452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124.441</w:t>
            </w:r>
          </w:p>
        </w:tc>
        <w:tc>
          <w:tcPr>
            <w:tcW w:w="1203" w:type="dxa"/>
          </w:tcPr>
          <w:p w:rsidR="004C5208" w:rsidRPr="00310D9B" w:rsidRDefault="004C5208" w:rsidP="00310D9B">
            <w:pPr>
              <w:pStyle w:val="NoSpacing"/>
              <w:jc w:val="right"/>
              <w:rPr>
                <w:sz w:val="24"/>
                <w:szCs w:val="24"/>
                <w:lang w:val="sr-Cyrl-CS"/>
              </w:rPr>
            </w:pPr>
            <w:r w:rsidRPr="00310D9B">
              <w:rPr>
                <w:sz w:val="24"/>
                <w:szCs w:val="24"/>
                <w:lang w:val="sr-Cyrl-CS"/>
              </w:rPr>
              <w:t>388.893</w:t>
            </w:r>
          </w:p>
        </w:tc>
      </w:tr>
    </w:tbl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Из наведене табеле се види да је број продатих улазница за 10 % мањи у односу на претходну годину, али незнатним повећањем цијене улазница, успјело се премашити остварени приход у односу на прошлогодишњи. Нажалост то је испод очекиваног пошто је вријеме било доста нестабилно и сезона је каснила, тако да је то умногоме утицало на број продатих улазница и остварени приход.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Вриједне помена у 2011 години свакако су и активности везане за преговоре са предузећем „Јадран – Нафтагас“ Д.О.О. Бања Лука чији је оснивач „Нис Гаспром –нафт“ И „Нефтегазинкор“ око евентуалне продаје земљишта тзв. „Трњачић“ и на њему лоциране бушотине ДВ-1 која је у власништву Ј.У. Бање „Дворови“ у  Дворовима.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Због у погледу понуђене цијене веома неприхватљиве понуде иако под великим притиском од стране Министарства за рударство и Енергетику ( које је „Јадран – Нафтагасу“ Д.О.О. Бања Лука издало концесију за истраживање нафте и гаса на подручју цијеле Р.С. ) и закључка Скупштине Општине до реализације купо- продаје није дошло, те је наведена имовина и даље у власништву Установе.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Надаље „Јадран – Нафтагасу“ Д.О.О. је дозвољено те је извршио испитивање бушотине на нафту и гас, а та испитивања су потврдила да нема економски исплативих количина истих.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У току радова „Јадран – Нафтагас“ је насуо приступни пут ка бушотини, очистио земљиште и бушотину те након завршетка радова исту затворио са три цементна чепа.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И ова најновија испитивања су потврдила да је:</w:t>
      </w:r>
    </w:p>
    <w:p w:rsidR="004C5208" w:rsidRDefault="004C5208" w:rsidP="00916298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дубина зацијевљене бушотине 1.222 метра</w:t>
      </w:r>
    </w:p>
    <w:p w:rsidR="004C5208" w:rsidRDefault="004C5208" w:rsidP="00916298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температура воде 71</w:t>
      </w:r>
      <w:r w:rsidRPr="00916298">
        <w:rPr>
          <w:sz w:val="24"/>
          <w:szCs w:val="24"/>
          <w:vertAlign w:val="superscript"/>
          <w:lang w:val="sr-Cyrl-CS"/>
        </w:rPr>
        <w:t>0</w:t>
      </w:r>
      <w:r>
        <w:rPr>
          <w:sz w:val="24"/>
          <w:szCs w:val="24"/>
          <w:lang w:val="sr-Cyrl-CS"/>
        </w:rPr>
        <w:t xml:space="preserve">C </w:t>
      </w:r>
    </w:p>
    <w:p w:rsidR="004C5208" w:rsidRDefault="004C5208" w:rsidP="00916298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самоизлив 20 л у секунди</w:t>
      </w: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што јасно показује да је то потенцијал у који је вриједно улагати, а обзиром да је пословодство Установе успјело да очува власништво над истим и обезбједи концесију на експоалацију поменуте термалне воде, за Бању је то свакако и велико богатство и одређена економска сигурност.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Pr="00BA0EA8" w:rsidRDefault="004C5208" w:rsidP="002C18F8">
      <w:pPr>
        <w:pStyle w:val="NoSpacing"/>
        <w:jc w:val="both"/>
        <w:rPr>
          <w:b/>
          <w:bCs/>
          <w:sz w:val="28"/>
          <w:szCs w:val="28"/>
          <w:lang w:val="sr-Cyrl-CS"/>
        </w:rPr>
      </w:pPr>
      <w:r w:rsidRPr="00BA0EA8">
        <w:rPr>
          <w:b/>
          <w:bCs/>
          <w:sz w:val="28"/>
          <w:szCs w:val="28"/>
          <w:lang w:val="sr-Cyrl-CS"/>
        </w:rPr>
        <w:t xml:space="preserve">На крају констатујемо: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C320D3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Да је иза нас једна веома тешка пословна година, те да на почетку исте заокупљени санацијом последица од поплаве нисмо ни били свјесни колико ће се то одразити на укупно пословање. </w:t>
      </w:r>
    </w:p>
    <w:p w:rsidR="004C5208" w:rsidRDefault="004C5208" w:rsidP="00C320D3">
      <w:pPr>
        <w:pStyle w:val="NoSpacing"/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 се тешка ситуација и економска криза у Држави и те како осјећа и у нашој Установи, али да се пословодство бори да одржи ликвидност и још увијек успијева да измирује обавезе у прописаним роковима почев од редовне исплате плате, те уплате пореза и доприноса на исте,  уплате обавеза према Управи за индиректно опорезивање до 10 у мјесецу као и обавеза по основу осталих пореза, накнада и такси.</w:t>
      </w: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</w:t>
      </w: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Март, 2012</w:t>
      </w:r>
    </w:p>
    <w:p w:rsidR="004C5208" w:rsidRDefault="004C5208" w:rsidP="0091629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                                 Директор</w:t>
      </w:r>
    </w:p>
    <w:p w:rsidR="004C5208" w:rsidRDefault="004C5208" w:rsidP="002C18F8">
      <w:pPr>
        <w:pStyle w:val="NoSpacing"/>
        <w:jc w:val="both"/>
        <w:rPr>
          <w:sz w:val="24"/>
          <w:szCs w:val="24"/>
          <w:lang w:val="sr-Cyrl-CS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                                    Лопандић</w:t>
      </w:r>
      <w:r w:rsidRPr="0091629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Светислав</w:t>
      </w:r>
    </w:p>
    <w:p w:rsidR="004C5208" w:rsidRDefault="004C5208" w:rsidP="002C18F8">
      <w:pPr>
        <w:pStyle w:val="NoSpacing"/>
        <w:jc w:val="both"/>
        <w:rPr>
          <w:sz w:val="24"/>
          <w:szCs w:val="24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</w:rPr>
      </w:pPr>
    </w:p>
    <w:p w:rsidR="004C5208" w:rsidRDefault="004C5208" w:rsidP="002C18F8">
      <w:pPr>
        <w:pStyle w:val="NoSpacing"/>
        <w:jc w:val="both"/>
        <w:rPr>
          <w:sz w:val="24"/>
          <w:szCs w:val="24"/>
        </w:rPr>
      </w:pPr>
    </w:p>
    <w:p w:rsidR="004C5208" w:rsidRPr="00337E09" w:rsidRDefault="004C5208" w:rsidP="002C18F8">
      <w:pPr>
        <w:pStyle w:val="NoSpacing"/>
        <w:jc w:val="both"/>
        <w:rPr>
          <w:b/>
          <w:bCs/>
          <w:sz w:val="24"/>
          <w:szCs w:val="24"/>
          <w:lang w:val="sr-Cyrl-BA"/>
        </w:rPr>
      </w:pPr>
      <w:r>
        <w:rPr>
          <w:sz w:val="24"/>
          <w:szCs w:val="24"/>
        </w:rPr>
        <w:tab/>
      </w:r>
      <w:r w:rsidRPr="00337E09">
        <w:rPr>
          <w:b/>
          <w:bCs/>
          <w:sz w:val="24"/>
          <w:szCs w:val="24"/>
        </w:rPr>
        <w:t>Начелник општине Бијељина прихватио је Извјештај о раду и пословању ЈУ Бања “Дворови”</w:t>
      </w:r>
      <w:r w:rsidRPr="00337E09">
        <w:rPr>
          <w:b/>
          <w:bCs/>
          <w:sz w:val="24"/>
          <w:szCs w:val="24"/>
          <w:lang w:val="sr-Cyrl-BA"/>
        </w:rPr>
        <w:t xml:space="preserve"> Дворови и Програм рада за 2012. годину, те га прослеђује Скупштини општине на разматрање и усвајање.</w:t>
      </w:r>
    </w:p>
    <w:p w:rsidR="004C5208" w:rsidRPr="00337E09" w:rsidRDefault="004C5208" w:rsidP="002C18F8">
      <w:pPr>
        <w:pStyle w:val="NoSpacing"/>
        <w:jc w:val="both"/>
        <w:rPr>
          <w:b/>
          <w:bCs/>
          <w:sz w:val="24"/>
          <w:szCs w:val="24"/>
          <w:lang w:val="sr-Cyrl-BA"/>
        </w:rPr>
      </w:pPr>
    </w:p>
    <w:p w:rsidR="004C5208" w:rsidRPr="00337E09" w:rsidRDefault="004C5208" w:rsidP="002C18F8">
      <w:pPr>
        <w:pStyle w:val="NoSpacing"/>
        <w:jc w:val="both"/>
        <w:rPr>
          <w:b/>
          <w:bCs/>
          <w:sz w:val="24"/>
          <w:szCs w:val="24"/>
          <w:lang w:val="sr-Cyrl-BA"/>
        </w:rPr>
      </w:pPr>
      <w:r w:rsidRPr="00337E09">
        <w:rPr>
          <w:b/>
          <w:bCs/>
          <w:sz w:val="24"/>
          <w:szCs w:val="24"/>
          <w:lang w:val="sr-Cyrl-BA"/>
        </w:rPr>
        <w:tab/>
      </w:r>
      <w:r w:rsidRPr="00337E09">
        <w:rPr>
          <w:b/>
          <w:bCs/>
          <w:sz w:val="24"/>
          <w:szCs w:val="24"/>
          <w:lang w:val="sr-Cyrl-BA"/>
        </w:rPr>
        <w:tab/>
      </w:r>
      <w:r w:rsidRPr="00337E09">
        <w:rPr>
          <w:b/>
          <w:bCs/>
          <w:sz w:val="24"/>
          <w:szCs w:val="24"/>
          <w:lang w:val="sr-Cyrl-BA"/>
        </w:rPr>
        <w:tab/>
      </w:r>
      <w:r w:rsidRPr="00337E09">
        <w:rPr>
          <w:b/>
          <w:bCs/>
          <w:sz w:val="24"/>
          <w:szCs w:val="24"/>
          <w:lang w:val="sr-Cyrl-BA"/>
        </w:rPr>
        <w:tab/>
      </w:r>
      <w:r w:rsidRPr="00337E09">
        <w:rPr>
          <w:b/>
          <w:bCs/>
          <w:sz w:val="24"/>
          <w:szCs w:val="24"/>
          <w:lang w:val="sr-Cyrl-BA"/>
        </w:rPr>
        <w:tab/>
      </w:r>
      <w:r w:rsidRPr="00337E09">
        <w:rPr>
          <w:b/>
          <w:bCs/>
          <w:sz w:val="24"/>
          <w:szCs w:val="24"/>
          <w:lang w:val="sr-Cyrl-BA"/>
        </w:rPr>
        <w:tab/>
      </w:r>
      <w:r w:rsidRPr="00337E09">
        <w:rPr>
          <w:b/>
          <w:bCs/>
          <w:sz w:val="24"/>
          <w:szCs w:val="24"/>
          <w:lang w:val="sr-Cyrl-BA"/>
        </w:rPr>
        <w:tab/>
        <w:t>НАЧЕЛНИК ОПШТИНЕ</w:t>
      </w:r>
    </w:p>
    <w:sectPr w:rsidR="004C5208" w:rsidRPr="00337E09" w:rsidSect="00926F27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1C21A50"/>
    <w:multiLevelType w:val="hybridMultilevel"/>
    <w:tmpl w:val="146E2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E6E"/>
    <w:rsid w:val="0005113B"/>
    <w:rsid w:val="00074AC6"/>
    <w:rsid w:val="0008779D"/>
    <w:rsid w:val="000B73F8"/>
    <w:rsid w:val="000F55BA"/>
    <w:rsid w:val="0014799F"/>
    <w:rsid w:val="00155490"/>
    <w:rsid w:val="001A659C"/>
    <w:rsid w:val="001C2767"/>
    <w:rsid w:val="002C18F8"/>
    <w:rsid w:val="00310D9B"/>
    <w:rsid w:val="0031383E"/>
    <w:rsid w:val="00324C57"/>
    <w:rsid w:val="00337E09"/>
    <w:rsid w:val="00346903"/>
    <w:rsid w:val="00367B1E"/>
    <w:rsid w:val="0037068D"/>
    <w:rsid w:val="003904EE"/>
    <w:rsid w:val="004104CF"/>
    <w:rsid w:val="004461FB"/>
    <w:rsid w:val="004B755D"/>
    <w:rsid w:val="004C5208"/>
    <w:rsid w:val="00563DFE"/>
    <w:rsid w:val="00573692"/>
    <w:rsid w:val="006673EA"/>
    <w:rsid w:val="006A7F4A"/>
    <w:rsid w:val="00703CA7"/>
    <w:rsid w:val="007716AA"/>
    <w:rsid w:val="00801E6E"/>
    <w:rsid w:val="00824E51"/>
    <w:rsid w:val="0083504E"/>
    <w:rsid w:val="00887493"/>
    <w:rsid w:val="009062C1"/>
    <w:rsid w:val="00916298"/>
    <w:rsid w:val="00926F27"/>
    <w:rsid w:val="00967131"/>
    <w:rsid w:val="00980DFB"/>
    <w:rsid w:val="009A72CA"/>
    <w:rsid w:val="009E18D1"/>
    <w:rsid w:val="00A468E8"/>
    <w:rsid w:val="00A4791D"/>
    <w:rsid w:val="00A5770B"/>
    <w:rsid w:val="00A90E40"/>
    <w:rsid w:val="00AC7544"/>
    <w:rsid w:val="00B1671F"/>
    <w:rsid w:val="00B87194"/>
    <w:rsid w:val="00B94A0F"/>
    <w:rsid w:val="00BA0EA8"/>
    <w:rsid w:val="00BE2852"/>
    <w:rsid w:val="00C06CF0"/>
    <w:rsid w:val="00C1050B"/>
    <w:rsid w:val="00C320D3"/>
    <w:rsid w:val="00C44666"/>
    <w:rsid w:val="00C54D81"/>
    <w:rsid w:val="00C55252"/>
    <w:rsid w:val="00CA6B5A"/>
    <w:rsid w:val="00CB33FF"/>
    <w:rsid w:val="00CD11E7"/>
    <w:rsid w:val="00CD2C7F"/>
    <w:rsid w:val="00D722C1"/>
    <w:rsid w:val="00DE08C3"/>
    <w:rsid w:val="00E67B98"/>
    <w:rsid w:val="00E81094"/>
    <w:rsid w:val="00E9220A"/>
    <w:rsid w:val="00EB66E3"/>
    <w:rsid w:val="00F01D15"/>
    <w:rsid w:val="00F50769"/>
    <w:rsid w:val="00FE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2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01E6E"/>
    <w:rPr>
      <w:rFonts w:cs="Calibri"/>
    </w:rPr>
  </w:style>
  <w:style w:type="table" w:styleId="TableGrid">
    <w:name w:val="Table Grid"/>
    <w:basedOn w:val="TableNormal"/>
    <w:uiPriority w:val="99"/>
    <w:rsid w:val="00A4791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74AC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576</TotalTime>
  <Pages>11</Pages>
  <Words>2866</Words>
  <Characters>16339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mpetrovic</cp:lastModifiedBy>
  <cp:revision>25</cp:revision>
  <cp:lastPrinted>2012-04-09T10:03:00Z</cp:lastPrinted>
  <dcterms:created xsi:type="dcterms:W3CDTF">2012-03-13T03:33:00Z</dcterms:created>
  <dcterms:modified xsi:type="dcterms:W3CDTF">2012-04-17T11:40:00Z</dcterms:modified>
</cp:coreProperties>
</file>